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54" w:rsidRDefault="004A2155" w:rsidP="00CA6A5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619214" cy="2190415"/>
            <wp:effectExtent l="19050" t="0" r="0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5992" cy="2192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722" w:rsidRDefault="006F5722" w:rsidP="00CA6A54">
      <w:pPr>
        <w:jc w:val="center"/>
        <w:rPr>
          <w:b/>
        </w:rPr>
      </w:pPr>
    </w:p>
    <w:p w:rsidR="006F5722" w:rsidRDefault="006F5722" w:rsidP="00CA6A54">
      <w:pPr>
        <w:jc w:val="center"/>
        <w:rPr>
          <w:b/>
        </w:rPr>
      </w:pPr>
    </w:p>
    <w:p w:rsidR="006F5722" w:rsidRDefault="006F5722" w:rsidP="004A2155">
      <w:pPr>
        <w:rPr>
          <w:b/>
        </w:rPr>
      </w:pPr>
    </w:p>
    <w:p w:rsidR="006F5722" w:rsidRDefault="006F5722" w:rsidP="00CA6A54">
      <w:pPr>
        <w:jc w:val="center"/>
        <w:rPr>
          <w:b/>
        </w:rPr>
      </w:pPr>
    </w:p>
    <w:p w:rsidR="006F5722" w:rsidRDefault="006F5722" w:rsidP="006F57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6F5722" w:rsidRDefault="006F5722" w:rsidP="006F57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«Геометрия»</w:t>
      </w:r>
    </w:p>
    <w:p w:rsidR="006F5722" w:rsidRDefault="006F5722" w:rsidP="006F57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7а</w:t>
      </w:r>
    </w:p>
    <w:p w:rsidR="006F5722" w:rsidRDefault="006F5722" w:rsidP="006F5722">
      <w:pPr>
        <w:jc w:val="center"/>
        <w:rPr>
          <w:b/>
          <w:sz w:val="40"/>
          <w:szCs w:val="40"/>
        </w:rPr>
      </w:pPr>
    </w:p>
    <w:p w:rsidR="006F5722" w:rsidRDefault="006F5722" w:rsidP="006F572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:rsidR="006F5722" w:rsidRDefault="006F5722" w:rsidP="006F5722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  <w:bookmarkStart w:id="0" w:name="_GoBack"/>
      <w:bookmarkEnd w:id="0"/>
    </w:p>
    <w:p w:rsidR="006F5722" w:rsidRDefault="006F5722" w:rsidP="006F5722">
      <w:pPr>
        <w:jc w:val="center"/>
        <w:rPr>
          <w:b/>
          <w:sz w:val="40"/>
          <w:szCs w:val="40"/>
        </w:rPr>
      </w:pPr>
    </w:p>
    <w:p w:rsidR="006F5722" w:rsidRDefault="006F5722" w:rsidP="006F57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6F5722" w:rsidRDefault="006F5722" w:rsidP="00CA6A54">
      <w:pPr>
        <w:jc w:val="center"/>
        <w:rPr>
          <w:b/>
        </w:rPr>
      </w:pPr>
    </w:p>
    <w:p w:rsidR="006F5722" w:rsidRDefault="006F5722" w:rsidP="00CA6A54">
      <w:pPr>
        <w:jc w:val="center"/>
        <w:rPr>
          <w:b/>
        </w:rPr>
      </w:pPr>
    </w:p>
    <w:p w:rsidR="006F5722" w:rsidRDefault="006F5722" w:rsidP="00CA6A54">
      <w:pPr>
        <w:jc w:val="center"/>
        <w:rPr>
          <w:b/>
        </w:rPr>
      </w:pPr>
    </w:p>
    <w:p w:rsidR="006F5722" w:rsidRDefault="006F5722" w:rsidP="00CA6A54">
      <w:pPr>
        <w:jc w:val="center"/>
        <w:rPr>
          <w:b/>
        </w:rPr>
      </w:pPr>
    </w:p>
    <w:p w:rsidR="00CA6A54" w:rsidRPr="00CA6A54" w:rsidRDefault="00CA6A54" w:rsidP="004A2155">
      <w:pPr>
        <w:rPr>
          <w:b/>
        </w:rPr>
      </w:pPr>
    </w:p>
    <w:p w:rsidR="008440AC" w:rsidRPr="000A7590" w:rsidRDefault="008440AC" w:rsidP="008440AC">
      <w:pPr>
        <w:jc w:val="center"/>
        <w:rPr>
          <w:rStyle w:val="FontStyle109"/>
          <w:rFonts w:eastAsiaTheme="minorHAnsi"/>
          <w:bCs w:val="0"/>
          <w:sz w:val="28"/>
        </w:rPr>
      </w:pPr>
      <w:r>
        <w:rPr>
          <w:b/>
        </w:rPr>
        <w:t xml:space="preserve">                                            </w:t>
      </w:r>
      <w:r w:rsidRPr="000A7590">
        <w:rPr>
          <w:b/>
          <w:sz w:val="28"/>
        </w:rPr>
        <w:t>Пояснительная записка</w:t>
      </w: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 xml:space="preserve"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E25B60">
        <w:rPr>
          <w:color w:val="333333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E25B60">
        <w:rPr>
          <w:color w:val="333333"/>
        </w:rPr>
        <w:t xml:space="preserve"> </w:t>
      </w:r>
      <w:proofErr w:type="gramStart"/>
      <w:r w:rsidRPr="00E25B60">
        <w:rPr>
          <w:color w:val="333333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Треугольник. Признаки равенства треугольников. Перпендикуляр </w:t>
      </w:r>
      <w:proofErr w:type="gramStart"/>
      <w:r w:rsidRPr="003527B5">
        <w:rPr>
          <w:color w:val="333333"/>
        </w:rPr>
        <w:t>к</w:t>
      </w:r>
      <w:proofErr w:type="gramEnd"/>
      <w:r w:rsidRPr="003527B5">
        <w:rPr>
          <w:color w:val="333333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Признаки параллельности </w:t>
      </w:r>
      <w:proofErr w:type="gramStart"/>
      <w:r w:rsidRPr="003527B5">
        <w:rPr>
          <w:color w:val="333333"/>
        </w:rPr>
        <w:t>прямых</w:t>
      </w:r>
      <w:proofErr w:type="gramEnd"/>
      <w:r w:rsidRPr="003527B5">
        <w:rPr>
          <w:color w:val="333333"/>
        </w:rPr>
        <w:t xml:space="preserve">. Аксиома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 Свойства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lastRenderedPageBreak/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3527B5">
        <w:rPr>
          <w:color w:val="333333"/>
        </w:rPr>
        <w:t>до</w:t>
      </w:r>
      <w:proofErr w:type="gramEnd"/>
      <w:r w:rsidRPr="003527B5">
        <w:rPr>
          <w:color w:val="333333"/>
        </w:rPr>
        <w:t xml:space="preserve"> прямой. Расстояние между </w:t>
      </w:r>
      <w:proofErr w:type="gramStart"/>
      <w:r w:rsidRPr="003527B5">
        <w:rPr>
          <w:color w:val="333333"/>
        </w:rPr>
        <w:t>параллельными</w:t>
      </w:r>
      <w:proofErr w:type="gramEnd"/>
      <w:r w:rsidRPr="003527B5">
        <w:rPr>
          <w:color w:val="333333"/>
        </w:rPr>
        <w:t xml:space="preserve">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proofErr w:type="gramStart"/>
      <w:r w:rsidRPr="00E27B49">
        <w:rPr>
          <w:color w:val="333333"/>
        </w:rPr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lastRenderedPageBreak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7B49">
        <w:rPr>
          <w:b/>
          <w:color w:val="333333"/>
        </w:rPr>
        <w:t>для</w:t>
      </w:r>
      <w:proofErr w:type="gramEnd"/>
      <w:r w:rsidRPr="00E27B49">
        <w:rPr>
          <w:b/>
          <w:color w:val="333333"/>
        </w:rPr>
        <w:t>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 xml:space="preserve">в </w:t>
      </w:r>
      <w:proofErr w:type="gramStart"/>
      <w:r w:rsidRPr="00E27B49">
        <w:rPr>
          <w:color w:val="000000"/>
        </w:rPr>
        <w:t>логических рассуждениях</w:t>
      </w:r>
      <w:proofErr w:type="gramEnd"/>
      <w:r w:rsidRPr="00E27B49">
        <w:rPr>
          <w:color w:val="000000"/>
        </w:rPr>
        <w:t xml:space="preserve">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допущены существенные ошибки, показавшие, что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работа показала полное отсутствие у </w:t>
      </w:r>
      <w:proofErr w:type="gramStart"/>
      <w:r w:rsidRPr="00E27B49">
        <w:rPr>
          <w:color w:val="000000"/>
        </w:rPr>
        <w:t>обучающегося</w:t>
      </w:r>
      <w:proofErr w:type="gramEnd"/>
      <w:r w:rsidRPr="00E27B49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27B49">
        <w:rPr>
          <w:color w:val="000000"/>
        </w:rPr>
        <w:t>обучающемуся</w:t>
      </w:r>
      <w:proofErr w:type="gramEnd"/>
      <w:r w:rsidRPr="00E27B49">
        <w:rPr>
          <w:color w:val="000000"/>
        </w:rPr>
        <w:t xml:space="preserve">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lastRenderedPageBreak/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E27B49">
        <w:rPr>
          <w:color w:val="000000"/>
        </w:rPr>
        <w:t>обучающихся</w:t>
      </w:r>
      <w:proofErr w:type="gramEnd"/>
      <w:r w:rsidRPr="00E27B49">
        <w:rPr>
          <w:color w:val="000000"/>
        </w:rPr>
        <w:t>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E27B49">
        <w:rPr>
          <w:color w:val="000000"/>
        </w:rPr>
        <w:t>выявлена</w:t>
      </w:r>
      <w:proofErr w:type="gramEnd"/>
      <w:r w:rsidRPr="00E27B49">
        <w:rPr>
          <w:color w:val="000000"/>
        </w:rPr>
        <w:t xml:space="preserve">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 xml:space="preserve">Оценка тестовой работы </w:t>
      </w:r>
      <w:proofErr w:type="gramStart"/>
      <w:r w:rsidRPr="00E27B49">
        <w:rPr>
          <w:b/>
          <w:bCs/>
          <w:i/>
          <w:iCs/>
          <w:color w:val="000000"/>
        </w:rPr>
        <w:t>обучающихся</w:t>
      </w:r>
      <w:proofErr w:type="gramEnd"/>
      <w:r w:rsidRPr="00E27B49">
        <w:rPr>
          <w:b/>
          <w:bCs/>
          <w:i/>
          <w:iCs/>
          <w:color w:val="000000"/>
        </w:rPr>
        <w:t xml:space="preserve">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proofErr w:type="gramStart"/>
      <w:r w:rsidRPr="00F53F5D">
        <w:rPr>
          <w:rFonts w:ascii="Times New Roman" w:eastAsia="Calibri" w:hAnsi="Times New Roman" w:cs="Times New Roman"/>
          <w:sz w:val="24"/>
        </w:rPr>
        <w:t>Параллельные</w:t>
      </w:r>
      <w:proofErr w:type="gramEnd"/>
      <w:r w:rsidRPr="00F53F5D">
        <w:rPr>
          <w:rFonts w:ascii="Times New Roman" w:eastAsia="Calibri" w:hAnsi="Times New Roman" w:cs="Times New Roman"/>
          <w:sz w:val="24"/>
        </w:rPr>
        <w:t xml:space="preserve">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8D74CD" w:rsidRDefault="008D74CD" w:rsidP="00A40F5F">
      <w:pPr>
        <w:pStyle w:val="ae"/>
        <w:rPr>
          <w:b/>
        </w:rPr>
      </w:pPr>
    </w:p>
    <w:p w:rsidR="008D74CD" w:rsidRDefault="008D74CD" w:rsidP="00A40F5F">
      <w:pPr>
        <w:pStyle w:val="ae"/>
        <w:rPr>
          <w:b/>
        </w:rPr>
      </w:pPr>
    </w:p>
    <w:p w:rsidR="008D74CD" w:rsidRDefault="008D74CD" w:rsidP="00A40F5F">
      <w:pPr>
        <w:pStyle w:val="ae"/>
        <w:rPr>
          <w:b/>
        </w:rPr>
      </w:pPr>
    </w:p>
    <w:p w:rsidR="00860ED1" w:rsidRPr="00A40F5F" w:rsidRDefault="00F54DBC" w:rsidP="00A40F5F">
      <w:pPr>
        <w:pStyle w:val="ae"/>
        <w:rPr>
          <w:b/>
        </w:rPr>
      </w:pPr>
      <w:r w:rsidRPr="00A40F5F">
        <w:rPr>
          <w:b/>
        </w:rPr>
        <w:lastRenderedPageBreak/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677939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Прямая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C35" w:rsidRDefault="001B497E" w:rsidP="00A40F5F">
            <w:pPr>
              <w:pStyle w:val="ae"/>
            </w:pPr>
            <w:r>
              <w:t>04.09</w:t>
            </w:r>
          </w:p>
          <w:p w:rsidR="001B497E" w:rsidRDefault="001B497E" w:rsidP="00A40F5F">
            <w:pPr>
              <w:pStyle w:val="ae"/>
            </w:pPr>
          </w:p>
          <w:p w:rsidR="001B497E" w:rsidRPr="00A40F5F" w:rsidRDefault="001B497E" w:rsidP="00A40F5F">
            <w:pPr>
              <w:pStyle w:val="ae"/>
            </w:pPr>
            <w:r>
              <w:t>07.09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C35" w:rsidRDefault="001B497E" w:rsidP="00A40F5F">
            <w:pPr>
              <w:pStyle w:val="ae"/>
            </w:pPr>
            <w:r>
              <w:t>10.09.19</w:t>
            </w:r>
          </w:p>
          <w:p w:rsidR="001B497E" w:rsidRDefault="001B497E" w:rsidP="00A40F5F">
            <w:pPr>
              <w:pStyle w:val="ae"/>
            </w:pPr>
          </w:p>
          <w:p w:rsidR="001B497E" w:rsidRDefault="001B497E" w:rsidP="00A40F5F">
            <w:pPr>
              <w:pStyle w:val="ae"/>
            </w:pPr>
            <w:r>
              <w:t>14.09</w:t>
            </w:r>
          </w:p>
          <w:p w:rsidR="001B497E" w:rsidRDefault="001B497E" w:rsidP="00A40F5F">
            <w:pPr>
              <w:pStyle w:val="ae"/>
            </w:pPr>
          </w:p>
          <w:p w:rsidR="001B497E" w:rsidRPr="00A40F5F" w:rsidRDefault="001B497E" w:rsidP="00A40F5F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точка называется серединой отрезка, какой луч называется биссектрисой </w:t>
            </w:r>
            <w:r w:rsidRPr="00A40F5F">
              <w:rPr>
                <w:rFonts w:eastAsia="Calibri"/>
                <w:lang w:eastAsia="en-US"/>
              </w:rPr>
              <w:lastRenderedPageBreak/>
              <w:t>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1B497E" w:rsidP="00A40F5F">
            <w:pPr>
              <w:pStyle w:val="ae"/>
            </w:pPr>
            <w:r>
              <w:t>17.09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Уметь измерить данный отрезок с помощью линейки и выразить его длину в </w:t>
            </w:r>
            <w:proofErr w:type="gramStart"/>
            <w:r w:rsidRPr="00A40F5F">
              <w:rPr>
                <w:rFonts w:eastAsia="Calibri"/>
                <w:lang w:eastAsia="en-US"/>
              </w:rPr>
              <w:t>см</w:t>
            </w:r>
            <w:proofErr w:type="gramEnd"/>
            <w:r w:rsidRPr="00A40F5F">
              <w:rPr>
                <w:rFonts w:eastAsia="Calibri"/>
                <w:lang w:eastAsia="en-US"/>
              </w:rPr>
              <w:t>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1B497E" w:rsidP="00A40F5F">
            <w:pPr>
              <w:pStyle w:val="ae"/>
            </w:pPr>
            <w:r>
              <w:t>21.09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1B497E" w:rsidP="00A40F5F">
            <w:pPr>
              <w:pStyle w:val="ae"/>
            </w:pPr>
            <w:r>
              <w:t>24.09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proofErr w:type="gramStart"/>
            <w:r w:rsidRPr="00A40F5F">
              <w:t xml:space="preserve"> В</w:t>
            </w:r>
            <w:proofErr w:type="gramEnd"/>
            <w:r w:rsidRPr="00A40F5F">
              <w:t xml:space="preserve">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</w:t>
            </w:r>
            <w:proofErr w:type="gramStart"/>
            <w:r w:rsidRPr="00A40F5F">
              <w:t>параллельных</w:t>
            </w:r>
            <w:proofErr w:type="gramEnd"/>
            <w:r w:rsidRPr="00A40F5F">
              <w:t xml:space="preserve">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28.09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01B47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01.10</w:t>
            </w:r>
          </w:p>
          <w:p w:rsidR="001B497E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.Т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>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какая фигура называется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>треугольником, назвать его элементы; знать, что такое 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lastRenderedPageBreak/>
              <w:t>Самостоя</w:t>
            </w:r>
            <w:r w:rsidRPr="00A40F5F">
              <w:softHyphen/>
              <w:t xml:space="preserve">тельное решение задач с </w:t>
            </w:r>
            <w:r w:rsidRPr="00A40F5F">
              <w:lastRenderedPageBreak/>
              <w:t>по</w:t>
            </w:r>
            <w:r w:rsidRPr="00A40F5F">
              <w:softHyphen/>
              <w:t>следующей проверкой (выборочно)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22.10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26.10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Перпендикуляр </w:t>
            </w:r>
            <w:proofErr w:type="gramStart"/>
            <w:r w:rsidRPr="00A40F5F">
              <w:rPr>
                <w:rFonts w:eastAsia="Calibri"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spellEnd"/>
            <w:proofErr w:type="gram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801B47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16.11</w:t>
            </w:r>
          </w:p>
          <w:p w:rsidR="001B497E" w:rsidRDefault="001B497E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1B497E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какой треугольник называется равнобедренным, равносторонним, знать формулировки теорем о перпендикуляре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801B47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23.11</w:t>
            </w:r>
          </w:p>
          <w:p w:rsidR="001B497E" w:rsidRDefault="001B497E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1B497E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1B497E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1B497E" w:rsidP="004F356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03.12</w:t>
            </w: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183A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801B47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07.12</w:t>
            </w:r>
          </w:p>
          <w:p w:rsidR="00886A09" w:rsidRPr="00F10582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10.12</w:t>
            </w: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 xml:space="preserve">проверкой, </w:t>
            </w:r>
            <w:proofErr w:type="gramStart"/>
            <w:r w:rsidRPr="00A40F5F">
              <w:t>практиче</w:t>
            </w:r>
            <w:r w:rsidRPr="00A40F5F">
              <w:softHyphen/>
              <w:t>ское</w:t>
            </w:r>
            <w:proofErr w:type="gramEnd"/>
            <w:r w:rsidRPr="00A40F5F">
              <w:t xml:space="preserve"> зад</w:t>
            </w:r>
          </w:p>
        </w:tc>
        <w:tc>
          <w:tcPr>
            <w:tcW w:w="1843" w:type="dxa"/>
          </w:tcPr>
          <w:p w:rsidR="00801B47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17.12</w:t>
            </w:r>
          </w:p>
          <w:p w:rsidR="00886A09" w:rsidRPr="00A40F5F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183A">
        <w:trPr>
          <w:trHeight w:val="1481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886A09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11.01</w:t>
            </w: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86A09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 xml:space="preserve">прямые при помощи </w:t>
            </w:r>
            <w:proofErr w:type="gramStart"/>
            <w:r w:rsidRPr="00A40F5F">
              <w:rPr>
                <w:rFonts w:eastAsia="Calibri"/>
                <w:lang w:eastAsia="en-US"/>
              </w:rPr>
              <w:t>чертежного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886A09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86A09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Аксиома параллельности </w:t>
            </w:r>
            <w:proofErr w:type="gramStart"/>
            <w:r w:rsidRPr="00A40F5F">
              <w:rPr>
                <w:rFonts w:eastAsia="Calibri"/>
                <w:lang w:eastAsia="en-US"/>
              </w:rPr>
              <w:t>прямых</w:t>
            </w:r>
            <w:proofErr w:type="gramEnd"/>
            <w:r w:rsidRPr="00A40F5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801B47" w:rsidRDefault="00886A09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25.01</w:t>
            </w:r>
          </w:p>
          <w:p w:rsidR="00886A09" w:rsidRPr="00A40F5F" w:rsidRDefault="00886A09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Свойства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параллельных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677939" w:rsidP="00673ACF">
            <w:pPr>
              <w:pStyle w:val="ae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Полвторение</w:t>
            </w:r>
            <w:proofErr w:type="spellEnd"/>
            <w:r>
              <w:rPr>
                <w:rFonts w:eastAsia="Calibri"/>
                <w:lang w:eastAsia="en-US"/>
              </w:rPr>
              <w:t xml:space="preserve"> темы</w:t>
            </w:r>
            <w:r w:rsidR="008440AC" w:rsidRPr="00A40F5F">
              <w:rPr>
                <w:rFonts w:eastAsia="Calibri"/>
                <w:lang w:eastAsia="en-US"/>
              </w:rPr>
              <w:t xml:space="preserve">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 xml:space="preserve">Знать формулировки теоремы о соотношениях между сторонами и углами </w:t>
            </w:r>
            <w:r w:rsidRPr="00A40F5F">
              <w:rPr>
                <w:iCs/>
              </w:rPr>
              <w:lastRenderedPageBreak/>
              <w:t>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D96FDF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работа№4</w:t>
            </w:r>
            <w:r w:rsidR="008440AC" w:rsidRPr="00A40F5F">
              <w:rPr>
                <w:rFonts w:eastAsia="Calibri"/>
                <w:lang w:eastAsia="en-US"/>
              </w:rPr>
              <w:t xml:space="preserve"> 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03.04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1925AA" w:rsidRPr="00A40F5F" w:rsidRDefault="00886A09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07.03</w:t>
            </w:r>
          </w:p>
        </w:tc>
        <w:tc>
          <w:tcPr>
            <w:tcW w:w="1842" w:type="dxa"/>
          </w:tcPr>
          <w:p w:rsidR="00147824" w:rsidRPr="00A40F5F" w:rsidRDefault="00147824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A34BF8" w:rsidRDefault="00886A09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10.03</w:t>
            </w:r>
          </w:p>
          <w:p w:rsidR="00886A09" w:rsidRPr="00A40F5F" w:rsidRDefault="00886A09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886A09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86A09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A34BF8" w:rsidRDefault="00886A09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04.04</w:t>
            </w:r>
          </w:p>
          <w:p w:rsidR="00BC235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тельное </w:t>
            </w:r>
            <w:proofErr w:type="spellStart"/>
            <w:r w:rsidRPr="00A40F5F">
              <w:rPr>
                <w:rFonts w:eastAsia="Calibri"/>
                <w:lang w:eastAsia="en-US"/>
              </w:rPr>
              <w:t>ре¬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 xml:space="preserve">с </w:t>
            </w:r>
            <w:proofErr w:type="spellStart"/>
            <w:r w:rsidRPr="00A40F5F">
              <w:rPr>
                <w:rFonts w:eastAsia="Calibri"/>
                <w:lang w:eastAsia="en-US"/>
              </w:rPr>
              <w:t>последую¬</w:t>
            </w:r>
            <w:proofErr w:type="spellEnd"/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щей </w:t>
            </w:r>
            <w:proofErr w:type="spellStart"/>
            <w:r w:rsidRPr="00A40F5F">
              <w:rPr>
                <w:rFonts w:eastAsia="Calibri"/>
                <w:lang w:eastAsia="en-US"/>
              </w:rPr>
              <w:t>само¬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A34BF8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11.04</w:t>
            </w:r>
          </w:p>
          <w:p w:rsidR="00BC235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Расстояние от точки </w:t>
            </w:r>
            <w:proofErr w:type="gramStart"/>
            <w:r w:rsidRPr="00A40F5F">
              <w:rPr>
                <w:rFonts w:eastAsia="Calibri"/>
                <w:lang w:eastAsia="en-US"/>
              </w:rPr>
              <w:t>до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 Расстояние между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параллельными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</w:t>
            </w:r>
            <w:proofErr w:type="gramStart"/>
            <w:r w:rsidRPr="00372486">
              <w:rPr>
                <w:iCs/>
              </w:rPr>
              <w:t>от</w:t>
            </w:r>
            <w:proofErr w:type="gramEnd"/>
            <w:r w:rsidRPr="00372486">
              <w:rPr>
                <w:iCs/>
              </w:rPr>
              <w:t xml:space="preserve">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с последую</w:t>
            </w:r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A34BF8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21.04</w:t>
            </w:r>
          </w:p>
          <w:p w:rsidR="00BC235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A34BF8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28.04</w:t>
            </w:r>
          </w:p>
          <w:p w:rsidR="00BC235C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02.05</w:t>
            </w:r>
          </w:p>
          <w:p w:rsidR="00BC235C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05.04</w:t>
            </w:r>
          </w:p>
        </w:tc>
        <w:tc>
          <w:tcPr>
            <w:tcW w:w="1842" w:type="dxa"/>
          </w:tcPr>
          <w:p w:rsidR="003F7511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№5. Соотношения между сторонами и углами треугольника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26.05</w:t>
            </w:r>
          </w:p>
          <w:p w:rsidR="00BC235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A34BF8" w:rsidRDefault="008440AC" w:rsidP="008440AC">
      <w:pPr>
        <w:spacing w:line="360" w:lineRule="auto"/>
        <w:jc w:val="center"/>
      </w:pPr>
      <w:r>
        <w:tab/>
      </w: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8440AC" w:rsidRPr="009324AF" w:rsidRDefault="008440AC" w:rsidP="008440A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lastRenderedPageBreak/>
        <w:t>Учебно-методическое и материально-техническое обеспечение образовательного процесса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очие тетради по геометрии для 7</w:t>
      </w:r>
      <w:r w:rsidRPr="00435D97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асса (1 и 2 часть)</w:t>
      </w:r>
      <w:r w:rsidRPr="00435D97">
        <w:rPr>
          <w:rFonts w:ascii="Times New Roman" w:hAnsi="Times New Roman" w:cs="Times New Roman"/>
          <w:sz w:val="24"/>
          <w:szCs w:val="24"/>
        </w:rPr>
        <w:t xml:space="preserve">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8440AC" w:rsidRPr="00435D97" w:rsidRDefault="008440AC" w:rsidP="008440AC">
      <w:pPr>
        <w:pStyle w:val="af0"/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8440AC" w:rsidRPr="000677B6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</w:t>
      </w:r>
      <w:r>
        <w:rPr>
          <w:rFonts w:ascii="Times New Roman" w:hAnsi="Times New Roman" w:cs="Times New Roman"/>
          <w:sz w:val="24"/>
          <w:szCs w:val="20"/>
        </w:rPr>
        <w:t>9 классы. – Волгоград: Учитель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Ким геометрия 7 класс. Москва «ВАКО» 2013</w:t>
      </w:r>
    </w:p>
    <w:p w:rsidR="008440AC" w:rsidRPr="00F01F93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F93">
        <w:rPr>
          <w:rFonts w:ascii="Times New Roman" w:hAnsi="Times New Roman" w:cs="Times New Roman"/>
          <w:sz w:val="24"/>
          <w:szCs w:val="24"/>
        </w:rPr>
        <w:t>Тесты по геометрии 7 класс О. В. БЕЛИЦКАЯ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333333"/>
        </w:rPr>
      </w:pPr>
      <w:r w:rsidRPr="00F01F93">
        <w:rPr>
          <w:color w:val="333333"/>
        </w:rPr>
        <w:t xml:space="preserve">Гусев В. А.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>. / В.А. Гу</w:t>
      </w:r>
      <w:r w:rsidRPr="00F01F93">
        <w:rPr>
          <w:color w:val="333333"/>
        </w:rPr>
        <w:softHyphen/>
        <w:t xml:space="preserve">сев, А.И. </w:t>
      </w:r>
      <w:proofErr w:type="spellStart"/>
      <w:r w:rsidRPr="00F01F93">
        <w:rPr>
          <w:color w:val="333333"/>
        </w:rPr>
        <w:t>Медяник</w:t>
      </w:r>
      <w:proofErr w:type="spellEnd"/>
      <w:r w:rsidRPr="00F01F93">
        <w:rPr>
          <w:color w:val="333333"/>
        </w:rPr>
        <w:t>. — М.: Просвещение, 2003—2008.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 xml:space="preserve">Зив Б.Г.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 xml:space="preserve">. / Б.Г. Зив, В.М. </w:t>
      </w:r>
      <w:proofErr w:type="spellStart"/>
      <w:r w:rsidRPr="00F01F93">
        <w:rPr>
          <w:color w:val="333333"/>
        </w:rPr>
        <w:t>Мейлер</w:t>
      </w:r>
      <w:proofErr w:type="spellEnd"/>
      <w:r w:rsidRPr="00F01F93">
        <w:rPr>
          <w:color w:val="333333"/>
        </w:rPr>
        <w:t>. — М.: Просвещение, 2004—2008.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>Гаврилова Н.Ф. Поурочные разработки по геометрии. 7 класс. М.: ВАКО, 2004 – (В помощь школьному учителю)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>Мультимедийное</w:t>
      </w:r>
      <w:proofErr w:type="spellEnd"/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пособие «Живая геометрия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».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по геометрии 7 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 xml:space="preserve">значения тригонометрических функций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Интерактивное учебное пособие «Наглядная математика»: 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  <w:proofErr w:type="gramEnd"/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Комплек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 xml:space="preserve">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</w:p>
    <w:p w:rsidR="008440AC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8440AC" w:rsidRPr="002912C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8440AC" w:rsidRDefault="008440AC" w:rsidP="008440AC">
      <w:pPr>
        <w:ind w:left="-426"/>
      </w:pPr>
    </w:p>
    <w:p w:rsidR="008440AC" w:rsidRPr="00CE05A8" w:rsidRDefault="008440AC" w:rsidP="008440AC">
      <w:pPr>
        <w:rPr>
          <w:b/>
        </w:rPr>
      </w:pPr>
    </w:p>
    <w:p w:rsidR="008440AC" w:rsidRPr="00CE05A8" w:rsidRDefault="008440AC" w:rsidP="008440AC"/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9"/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2E" w:rsidRDefault="00967C2E">
      <w:r>
        <w:separator/>
      </w:r>
    </w:p>
  </w:endnote>
  <w:endnote w:type="continuationSeparator" w:id="0">
    <w:p w:rsidR="00967C2E" w:rsidRDefault="00967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47" w:rsidRDefault="009102FF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B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1B47" w:rsidRDefault="00801B47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47" w:rsidRDefault="009102FF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B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2155">
      <w:rPr>
        <w:rStyle w:val="a6"/>
        <w:noProof/>
      </w:rPr>
      <w:t>1</w:t>
    </w:r>
    <w:r>
      <w:rPr>
        <w:rStyle w:val="a6"/>
      </w:rPr>
      <w:fldChar w:fldCharType="end"/>
    </w:r>
  </w:p>
  <w:p w:rsidR="00801B47" w:rsidRDefault="00801B47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2E" w:rsidRDefault="00967C2E">
      <w:r>
        <w:separator/>
      </w:r>
    </w:p>
  </w:footnote>
  <w:footnote w:type="continuationSeparator" w:id="0">
    <w:p w:rsidR="00967C2E" w:rsidRDefault="00967C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40C35"/>
    <w:rsid w:val="000724DD"/>
    <w:rsid w:val="000B1EF8"/>
    <w:rsid w:val="000C0DA5"/>
    <w:rsid w:val="000F0BE1"/>
    <w:rsid w:val="00113F05"/>
    <w:rsid w:val="001340E3"/>
    <w:rsid w:val="00147824"/>
    <w:rsid w:val="00151F6A"/>
    <w:rsid w:val="001555CD"/>
    <w:rsid w:val="001576AF"/>
    <w:rsid w:val="001925AA"/>
    <w:rsid w:val="001940C7"/>
    <w:rsid w:val="001B497E"/>
    <w:rsid w:val="001E412A"/>
    <w:rsid w:val="001F603C"/>
    <w:rsid w:val="002023CC"/>
    <w:rsid w:val="00227B86"/>
    <w:rsid w:val="00245D6E"/>
    <w:rsid w:val="002620AF"/>
    <w:rsid w:val="002A315B"/>
    <w:rsid w:val="002E7189"/>
    <w:rsid w:val="00315FEB"/>
    <w:rsid w:val="00356215"/>
    <w:rsid w:val="00356F21"/>
    <w:rsid w:val="00372486"/>
    <w:rsid w:val="003904C7"/>
    <w:rsid w:val="003A1F68"/>
    <w:rsid w:val="003B6829"/>
    <w:rsid w:val="003C6A0A"/>
    <w:rsid w:val="003F7511"/>
    <w:rsid w:val="00423FEF"/>
    <w:rsid w:val="00426353"/>
    <w:rsid w:val="00426E66"/>
    <w:rsid w:val="0043363C"/>
    <w:rsid w:val="00445CA6"/>
    <w:rsid w:val="004A2155"/>
    <w:rsid w:val="004A3D8B"/>
    <w:rsid w:val="004A6395"/>
    <w:rsid w:val="004E0CD8"/>
    <w:rsid w:val="004F356D"/>
    <w:rsid w:val="00505EAC"/>
    <w:rsid w:val="00513F32"/>
    <w:rsid w:val="005368A1"/>
    <w:rsid w:val="005E6CA8"/>
    <w:rsid w:val="00606357"/>
    <w:rsid w:val="00623BB3"/>
    <w:rsid w:val="00660846"/>
    <w:rsid w:val="00666AF5"/>
    <w:rsid w:val="00673ACF"/>
    <w:rsid w:val="00676B42"/>
    <w:rsid w:val="00677939"/>
    <w:rsid w:val="00677D7B"/>
    <w:rsid w:val="00680FEA"/>
    <w:rsid w:val="006824EC"/>
    <w:rsid w:val="00692D85"/>
    <w:rsid w:val="006F5722"/>
    <w:rsid w:val="006F6905"/>
    <w:rsid w:val="0070751B"/>
    <w:rsid w:val="007322C0"/>
    <w:rsid w:val="00732327"/>
    <w:rsid w:val="0077671A"/>
    <w:rsid w:val="007A5F97"/>
    <w:rsid w:val="007B5094"/>
    <w:rsid w:val="007E6182"/>
    <w:rsid w:val="007E6487"/>
    <w:rsid w:val="00801B47"/>
    <w:rsid w:val="008134E4"/>
    <w:rsid w:val="00837D33"/>
    <w:rsid w:val="0084183A"/>
    <w:rsid w:val="008440AC"/>
    <w:rsid w:val="0085556E"/>
    <w:rsid w:val="008578D5"/>
    <w:rsid w:val="00860ED1"/>
    <w:rsid w:val="00886A09"/>
    <w:rsid w:val="008B0DA6"/>
    <w:rsid w:val="008B493E"/>
    <w:rsid w:val="008D74CD"/>
    <w:rsid w:val="008E4948"/>
    <w:rsid w:val="009102FF"/>
    <w:rsid w:val="0094562B"/>
    <w:rsid w:val="00945F49"/>
    <w:rsid w:val="00946F59"/>
    <w:rsid w:val="00967C2E"/>
    <w:rsid w:val="00974927"/>
    <w:rsid w:val="00975EBC"/>
    <w:rsid w:val="009970B8"/>
    <w:rsid w:val="009D4F5D"/>
    <w:rsid w:val="00A046DE"/>
    <w:rsid w:val="00A34BF8"/>
    <w:rsid w:val="00A40F5F"/>
    <w:rsid w:val="00A71D52"/>
    <w:rsid w:val="00AA2715"/>
    <w:rsid w:val="00AC5329"/>
    <w:rsid w:val="00AD58E9"/>
    <w:rsid w:val="00AD6324"/>
    <w:rsid w:val="00AF5DA5"/>
    <w:rsid w:val="00B24B74"/>
    <w:rsid w:val="00B72088"/>
    <w:rsid w:val="00B950A8"/>
    <w:rsid w:val="00BC235C"/>
    <w:rsid w:val="00BD1B2D"/>
    <w:rsid w:val="00C17DCB"/>
    <w:rsid w:val="00C409FC"/>
    <w:rsid w:val="00C72D70"/>
    <w:rsid w:val="00C9491C"/>
    <w:rsid w:val="00CA6A54"/>
    <w:rsid w:val="00CB4270"/>
    <w:rsid w:val="00CC5976"/>
    <w:rsid w:val="00CD6154"/>
    <w:rsid w:val="00CE1859"/>
    <w:rsid w:val="00D04C3E"/>
    <w:rsid w:val="00D320CE"/>
    <w:rsid w:val="00D568B2"/>
    <w:rsid w:val="00D96FDF"/>
    <w:rsid w:val="00DA4701"/>
    <w:rsid w:val="00DB7443"/>
    <w:rsid w:val="00E851F3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F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85D7E-3CCD-4EF4-8ED6-1306FBF0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4215</Words>
  <Characters>24029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2019-08-16T11:53:00Z</cp:lastPrinted>
  <dcterms:created xsi:type="dcterms:W3CDTF">2017-06-03T19:05:00Z</dcterms:created>
  <dcterms:modified xsi:type="dcterms:W3CDTF">2019-09-17T11:41:00Z</dcterms:modified>
</cp:coreProperties>
</file>