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2" w:rsidRPr="00AB2554" w:rsidRDefault="00AE2FF2" w:rsidP="00AB2554">
      <w:pPr>
        <w:shd w:val="clear" w:color="auto" w:fill="F3F6F8"/>
        <w:spacing w:before="161" w:after="432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>УМК по математик</w:t>
      </w:r>
      <w:r w:rsidR="00AB2554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>е под ред. Г. В. Дорофеева (5-6)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Авторы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: Г. В. Дорофеев, И. Ф.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С. Б. Суворова и др. / Под редакцией Дорофеева Г.В.,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Шарыгина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И.Ф.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Линия УМК входит в серию «Академический школьный учебник».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состав УМК входят: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рабочие программы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Учебники</w:t>
      </w:r>
    </w:p>
    <w:p w:rsidR="00AE2FF2" w:rsidRPr="00AE2FF2" w:rsidRDefault="00AE2FF2" w:rsidP="00AE2FF2">
      <w:pPr>
        <w:numPr>
          <w:ilvl w:val="1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Г. В. Дорофеев, И. Ф.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С. Б. Суворова и др. / Под редакцией Дорофеева Г.В.,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Шарыгина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И.Ф. Математика. 5 класс;</w:t>
      </w:r>
    </w:p>
    <w:p w:rsidR="00AE2FF2" w:rsidRPr="00AE2FF2" w:rsidRDefault="00AE2FF2" w:rsidP="00AE2FF2">
      <w:pPr>
        <w:numPr>
          <w:ilvl w:val="1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Г. В. Дорофеев, И. Ф.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С. Б. Суворова и др. / Под редакцией Дорофеева Г.В.,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Шарыгина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И.Ф. Математика. 6 класс;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рабочая тетрадь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дидактические материалы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тематические тесты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контрольные работы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устные упражнения</w:t>
      </w:r>
    </w:p>
    <w:p w:rsidR="00AE2FF2" w:rsidRPr="00AE2FF2" w:rsidRDefault="00AE2FF2" w:rsidP="00AE2FF2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методические рекомендации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Учебники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соответствуют Федеральному государственному образовательному стандарту основного общего образования. Учебный текст разбит на смысловые фрагменты вопросами, которые позволяют учащимся проверить, как понято </w:t>
      </w:r>
      <w:proofErr w:type="gram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прочитанное</w:t>
      </w:r>
      <w:proofErr w:type="gram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Система упражнений делится на три группы, первые две из которых – это группы сложности, а третья – задания на повторение пройденного ранее. В арсенал учащихся включаются такие виды деятельности, как анализ информации, наблюдение и эксперимент, конструирование алгоритмов, исследование и др. Эти виды деятельности явно обозначены в системе упражнений, что позволяет учащимся активно и осознанно овладевать универсальными учебными действиями. Каждая глава завершается рубрикой «Чему вы научились», помогающей ученику проверить себя на базовом уровне усвоения материала и осознанно оценить возможность выполнения заданий более высокого уровня.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Рабочие тетради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предназначены для формирования первичных навыков. Особенно эффективно применение пособия при изучении геометрического материала.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Дидактические материалы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предназначены для самостоятельной работы учащихся на этапах отработки важнейших умений с целью дифференциации учебного процесса.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Тематические тесты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предназначены для организации текущего оперативного контроля при изучении курса, позволяющего учителю диагностировать работу учеников и при необходимости провести работу корректирующего характера.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Контрольные работы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содержат материалы для тематического и итогового контроля, представленные в виде тематических зачётов по различным вопросам курса.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Устные упражнения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содержат задания по каждой теме курса, а также задания на повторение изученного и подготовки к изучению следующей темы.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Методические рекомендации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облегчат учителю ежедневную подготовку к урокам.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Особенности линии:</w:t>
      </w:r>
    </w:p>
    <w:p w:rsidR="00AE2FF2" w:rsidRPr="00AE2FF2" w:rsidRDefault="00AE2FF2" w:rsidP="00AE2FF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целенаправленное развитие познавательной сферы учащихся, активное формирование универсальных учебных действий</w:t>
      </w:r>
    </w:p>
    <w:p w:rsidR="00AE2FF2" w:rsidRPr="00AE2FF2" w:rsidRDefault="00AE2FF2" w:rsidP="00AE2FF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создание условий для понимания и осознанного овладения содержанием курса</w:t>
      </w:r>
    </w:p>
    <w:p w:rsidR="00AE2FF2" w:rsidRPr="00AE2FF2" w:rsidRDefault="00AE2FF2" w:rsidP="00AE2FF2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эффективное обучение математическому языку и знаково-символическим действиям</w:t>
      </w:r>
    </w:p>
    <w:p w:rsidR="00AE2FF2" w:rsidRPr="00AB2554" w:rsidRDefault="00AE2FF2" w:rsidP="00AB2554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использование технологии уровневой дифференциации, которая позволяет работать в классах разного уровня, индивидуализировать учебный процесс в рамках одного коллектива</w:t>
      </w:r>
    </w:p>
    <w:p w:rsidR="00AE2FF2" w:rsidRPr="00AB2554" w:rsidRDefault="00AE2FF2" w:rsidP="00AE2FF2">
      <w:pPr>
        <w:pStyle w:val="1"/>
        <w:shd w:val="clear" w:color="auto" w:fill="F3F6F8"/>
        <w:spacing w:before="161" w:beforeAutospacing="0" w:after="432" w:afterAutospacing="0"/>
        <w:jc w:val="center"/>
        <w:rPr>
          <w:rFonts w:ascii="Georgia" w:hAnsi="Georgia"/>
          <w:color w:val="333333"/>
          <w:sz w:val="24"/>
          <w:szCs w:val="24"/>
        </w:rPr>
      </w:pPr>
      <w:r w:rsidRPr="00AB2554">
        <w:rPr>
          <w:rFonts w:ascii="Georgia" w:hAnsi="Georgia"/>
          <w:color w:val="333333"/>
          <w:sz w:val="24"/>
          <w:szCs w:val="24"/>
        </w:rPr>
        <w:t>УМК по алгебре Ю.Н. Макарычева (7-9)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Авторы: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Ю. Н. Макарычев, Н. Г.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Миндюк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К. И.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Нешков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 / Под ред.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Теляковского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С.А.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состав УМК входят: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учебники</w:t>
      </w:r>
    </w:p>
    <w:p w:rsidR="00AE2FF2" w:rsidRPr="00AE2FF2" w:rsidRDefault="00AE2FF2" w:rsidP="00AE2FF2">
      <w:pPr>
        <w:numPr>
          <w:ilvl w:val="1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Ю. Н. Макарычев, Н. Г.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Миндюк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К. И.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Нешков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 / Под ред.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Теляковского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С.А. Алгебра. 7 класс;</w:t>
      </w:r>
    </w:p>
    <w:p w:rsidR="00AE2FF2" w:rsidRPr="00AE2FF2" w:rsidRDefault="00AE2FF2" w:rsidP="00AE2FF2">
      <w:pPr>
        <w:numPr>
          <w:ilvl w:val="1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Ю. Н. Макарычев, Н. Г.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Миндюк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К. И.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Нешков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 / Под ред.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Теляковского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С.А. Алгебра. 8 класс;</w:t>
      </w:r>
    </w:p>
    <w:p w:rsidR="00AE2FF2" w:rsidRPr="00AE2FF2" w:rsidRDefault="00AE2FF2" w:rsidP="00AE2FF2">
      <w:pPr>
        <w:numPr>
          <w:ilvl w:val="1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Ю. Н. Макарычев, Н. Г.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Миндюк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К. И.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Нешков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др. / Под ред. </w:t>
      </w:r>
      <w:proofErr w:type="spellStart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Теляковского</w:t>
      </w:r>
      <w:proofErr w:type="spellEnd"/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С.А. Алгебра. 9 класс;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рабочие программы;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дидактические материалы;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тематические тесты;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книги для учителя;</w:t>
      </w:r>
    </w:p>
    <w:p w:rsidR="00AE2FF2" w:rsidRPr="00AE2FF2" w:rsidRDefault="00AE2FF2" w:rsidP="00AE2FF2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методические рекомендации.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Учебники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соответствуют Федеральному государственному образовательному стандарту основного общего образования. Учебники содержат теоретический материал, написанный на высоком научном уровне и систему упражнений, органически связанную с теорией. В каждом пункте учебников выделяются задания обязательного уровня, которые варьируются с учётом возможных случаев. В системе упражнений специально выделены задания для работы в 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парах, задачи-исследования, старинные задачи. Приводимые образцы решения задач, пошаговое нарастание сложности заданий, сквозная линия повторения – всё это позволяет учащимся успешно овладеть новыми умениями. Каждая глава учебников заканчивается пунктом рубрики «Для тех, кто хочет знать больше». Этот материал предназначен для учащихся, проявляющих интерес к математике, и может быть использован для исследовательской и проектной деятельности.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Электронные приложения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 учебникам включают сведения из истории предмета, биографии учёных, решения задач и указания к решениям, тренажёры, тесты и др.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Тематические тесты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помогут учителю в организации текущего контроля и подготовке к ГИА. Формулировки многих заданий, их форма предъявления идентичны тем, которые даются в сборниках для государственной итоговой аттестации.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Книги для учителя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«Уроки алгебры» содержат тексты устных упражнений, уроков заключительного повторения, самостоятельных и контрольных работ, примерное тематическое планирование.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Методические рекомендации</w:t>
      </w: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содержат не только указания к упражнениям учебника, но и к упражнениям из рабочей тетради. Авторы подробно разбирают решения упражнений рубрики «Для тех, кто хочет знать больше» и из раздела «Задачи повышенной трудности».</w:t>
      </w:r>
    </w:p>
    <w:p w:rsidR="00AE2FF2" w:rsidRPr="00AE2FF2" w:rsidRDefault="00AE2FF2" w:rsidP="00AE2FF2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Особенности линии УМК:</w:t>
      </w:r>
    </w:p>
    <w:p w:rsidR="00AE2FF2" w:rsidRPr="00AE2FF2" w:rsidRDefault="00AE2FF2" w:rsidP="00AE2FF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последовательное изложение теории с привлечением большого числа примеров, способствующее эффективной организации учебного процесса;</w:t>
      </w:r>
    </w:p>
    <w:p w:rsidR="00AE2FF2" w:rsidRPr="00AE2FF2" w:rsidRDefault="00AE2FF2" w:rsidP="00AE2FF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создание условий для глубокого усвоения учащимися теории и овладения математическим аппаратом благодаря взаимосвязи и взаимопроникновению содержательно-методических линий курса;</w:t>
      </w:r>
    </w:p>
    <w:p w:rsidR="00AE2FF2" w:rsidRPr="00AE2FF2" w:rsidRDefault="00AE2FF2" w:rsidP="00AE2FF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обеспечение усвоения основных теоретических знаний и формирования необходимых умений и навыков с помощью системы упражнений;</w:t>
      </w:r>
    </w:p>
    <w:p w:rsidR="00AE2FF2" w:rsidRPr="00AE2FF2" w:rsidRDefault="00AE2FF2" w:rsidP="00AE2FF2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E2FF2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выделение заданий обязательного уровня в каждом пособии, входящем в УМК.</w:t>
      </w:r>
    </w:p>
    <w:p w:rsidR="00AB2554" w:rsidRDefault="008B7ADA" w:rsidP="00AB2554">
      <w:pPr>
        <w:pStyle w:val="1"/>
        <w:shd w:val="clear" w:color="auto" w:fill="F3F6F8"/>
        <w:spacing w:before="161" w:beforeAutospacing="0" w:after="432" w:afterAutospacing="0"/>
        <w:jc w:val="center"/>
        <w:rPr>
          <w:rFonts w:ascii="Georgia" w:hAnsi="Georgia"/>
          <w:color w:val="333333"/>
          <w:sz w:val="24"/>
          <w:szCs w:val="24"/>
        </w:rPr>
      </w:pPr>
      <w:r w:rsidRPr="00AB2554">
        <w:rPr>
          <w:rFonts w:ascii="Georgia" w:hAnsi="Georgia"/>
          <w:color w:val="333333"/>
          <w:sz w:val="24"/>
          <w:szCs w:val="24"/>
        </w:rPr>
        <w:t>УМК по алгебре Ш.А. Алимова (10-11) (</w:t>
      </w:r>
      <w:proofErr w:type="gramStart"/>
      <w:r w:rsidRPr="00AB2554">
        <w:rPr>
          <w:rFonts w:ascii="Georgia" w:hAnsi="Georgia"/>
          <w:color w:val="333333"/>
          <w:sz w:val="24"/>
          <w:szCs w:val="24"/>
        </w:rPr>
        <w:t>Базовый</w:t>
      </w:r>
      <w:proofErr w:type="gramEnd"/>
      <w:r w:rsidRPr="00AB2554">
        <w:rPr>
          <w:rFonts w:ascii="Georgia" w:hAnsi="Georgia"/>
          <w:color w:val="333333"/>
          <w:sz w:val="24"/>
          <w:szCs w:val="24"/>
        </w:rPr>
        <w:t>)</w:t>
      </w:r>
    </w:p>
    <w:p w:rsidR="008B7ADA" w:rsidRPr="00AB2554" w:rsidRDefault="008B7ADA" w:rsidP="00AB2554">
      <w:pPr>
        <w:pStyle w:val="1"/>
        <w:shd w:val="clear" w:color="auto" w:fill="F3F6F8"/>
        <w:spacing w:before="161" w:beforeAutospacing="0" w:after="432" w:afterAutospacing="0"/>
        <w:jc w:val="center"/>
        <w:rPr>
          <w:rFonts w:ascii="Georgia" w:hAnsi="Georgia"/>
          <w:color w:val="333333"/>
          <w:sz w:val="24"/>
          <w:szCs w:val="24"/>
        </w:rPr>
      </w:pPr>
      <w:r w:rsidRPr="00AB2554">
        <w:rPr>
          <w:rFonts w:ascii="Georgia" w:hAnsi="Georgia"/>
          <w:color w:val="333333"/>
          <w:sz w:val="24"/>
          <w:szCs w:val="24"/>
        </w:rPr>
        <w:t>Авторы: Ш.А. Алимов, Ю.М.Колягин, М.В.Ткачёва и др.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состав УМК входят:</w:t>
      </w:r>
    </w:p>
    <w:p w:rsidR="008B7ADA" w:rsidRPr="008B7ADA" w:rsidRDefault="008B7ADA" w:rsidP="008B7AD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учебник Алимов Ш.А., Колягин Ю.М., Ткачёва М.В. и др. Математика: алгебра и начала математического анализа, геометрия. Алгебра и начала математического анализ</w:t>
      </w:r>
      <w:r w:rsidR="00AB2554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а 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10-11 классы.</w:t>
      </w:r>
    </w:p>
    <w:p w:rsidR="008B7ADA" w:rsidRPr="008B7ADA" w:rsidRDefault="008B7ADA" w:rsidP="008B7AD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дидактические материалы</w:t>
      </w:r>
    </w:p>
    <w:p w:rsidR="008B7ADA" w:rsidRPr="008B7ADA" w:rsidRDefault="008B7ADA" w:rsidP="008B7AD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тематические тесты</w:t>
      </w:r>
    </w:p>
    <w:p w:rsidR="008B7ADA" w:rsidRPr="008B7ADA" w:rsidRDefault="008B7ADA" w:rsidP="008B7ADA">
      <w:pPr>
        <w:numPr>
          <w:ilvl w:val="0"/>
          <w:numId w:val="5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методические рекомендации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Учебник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соответствует Федеральному государственному образовательному стандарту среднего (полного) общего образования. В 10 классе классическими элементарными методами без привлечения производной изучаются элементарные функции. Числовая линия и линия преобразований развиваются параллельно с </w:t>
      </w:r>
      <w:proofErr w:type="gram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функциональной</w:t>
      </w:r>
      <w:proofErr w:type="gram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 В 11 классе рассматриваются начала математического анализа. Система упражнений представлена на трёх уровнях сложности. Задачи повышенной трудности в конце учебника содержат богатый материал для подготовки вузы с повышенными требованиями по математике.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Дидактические материалы.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Данные материалы содержат главы и параграфы, полностью повторяющие главы и параграфы учебника. Каждый параграф предваряет краткая теоретическая справка, приводятся примеры задач с решениями и задания для самостоятельной работы в двух вариантах. В каждой главе даны задачи для подготовки к экзамену и задания для учащихся, интересующихся математикой.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Тематические тесты.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В пособии предложены задания на двух уровнях сложности с указанием времени их выполнения. Учитель может использовать их перед контрольными работами для определения уровня 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знаний и умений учащихся по теме.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Методические рекомендации.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пособии изложены методические особенности учебника, определены цели изучения и требования к математической подготовке учащихся. В книге даны рекомендации по подготовке учащихся к изучению нового материала, распределению учебного материала и задач по урокам, а также тесты самостоятельных и контрольных работ.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Особенности линии УМК:</w:t>
      </w:r>
    </w:p>
    <w:p w:rsidR="008B7ADA" w:rsidRPr="008B7ADA" w:rsidRDefault="008B7ADA" w:rsidP="008B7AD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изложение материала сочетает в себе доступность наряду с наличием более сложных вопросов;</w:t>
      </w:r>
    </w:p>
    <w:p w:rsidR="008B7ADA" w:rsidRPr="00AB2554" w:rsidRDefault="008B7ADA" w:rsidP="008B7ADA">
      <w:pPr>
        <w:numPr>
          <w:ilvl w:val="0"/>
          <w:numId w:val="6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большое количество основных задач с решениями, как в учебнике, так и в остальных пособиях УМК позволяет учащимся самостоятельно усваивать методы решения задач.</w:t>
      </w:r>
    </w:p>
    <w:p w:rsidR="008B7ADA" w:rsidRPr="00AB2554" w:rsidRDefault="008B7ADA" w:rsidP="008B7ADA">
      <w:pPr>
        <w:pStyle w:val="1"/>
        <w:shd w:val="clear" w:color="auto" w:fill="FFFFFF"/>
        <w:spacing w:before="161" w:beforeAutospacing="0" w:after="161" w:afterAutospacing="0"/>
        <w:rPr>
          <w:rFonts w:ascii="Georgia" w:hAnsi="Georgia"/>
          <w:color w:val="333333"/>
          <w:sz w:val="24"/>
          <w:szCs w:val="24"/>
        </w:rPr>
      </w:pPr>
      <w:r w:rsidRPr="00AB2554">
        <w:rPr>
          <w:sz w:val="24"/>
          <w:szCs w:val="24"/>
        </w:rPr>
        <w:tab/>
      </w:r>
      <w:r w:rsidRPr="00AB2554">
        <w:rPr>
          <w:rFonts w:ascii="Georgia" w:hAnsi="Georgia"/>
          <w:color w:val="333333"/>
          <w:sz w:val="24"/>
          <w:szCs w:val="24"/>
        </w:rPr>
        <w:t xml:space="preserve">Линия учебно-методических комплексов (УМК) по геометрии Л.С. </w:t>
      </w:r>
      <w:proofErr w:type="spellStart"/>
      <w:r w:rsidRPr="00AB2554">
        <w:rPr>
          <w:rFonts w:ascii="Georgia" w:hAnsi="Georgia"/>
          <w:color w:val="333333"/>
          <w:sz w:val="24"/>
          <w:szCs w:val="24"/>
        </w:rPr>
        <w:t>Атанасяна</w:t>
      </w:r>
      <w:proofErr w:type="spellEnd"/>
      <w:r w:rsidRPr="00AB2554">
        <w:rPr>
          <w:rFonts w:ascii="Georgia" w:hAnsi="Georgia"/>
          <w:color w:val="333333"/>
          <w:sz w:val="24"/>
          <w:szCs w:val="24"/>
        </w:rPr>
        <w:t>. 7—9 классы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Авторы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: Л.С. 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Атанасян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В. Ф. Бутузов, С. Б. Кадомцев и др.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Самая популярная линия учебников по геометрии переиздавалась более 20 раз и, по-прежнему, не потеряла своей актуальности.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состав УМК входят: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учебник Л.С. 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Атанасян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В. Ф. Бутузов, С. Б. Кадомцев и др. Геометрия. 7-9 классы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рабочая программа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дидактические материалы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самостоятельные и контрольные работы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тематические тесты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пособие для учителя</w:t>
      </w:r>
    </w:p>
    <w:p w:rsidR="008B7ADA" w:rsidRPr="008B7ADA" w:rsidRDefault="008B7ADA" w:rsidP="008B7ADA">
      <w:pPr>
        <w:numPr>
          <w:ilvl w:val="0"/>
          <w:numId w:val="7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задачи по геометрии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Учебник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соответствуют Федеральному государственному образовательному стандарту основного общего образования. В учебнике много оригинальных приёмов изложения, которые используются из-за стремления сделать учебник доступным и одновременно строгим. Большое внимание уделяется тщательной формулировке задач, нередко приводится несколько решений одной и той же задачи. Задания, имеющие электронную версию, отмечены специальным знаком. Добавлены темы рефератов, исследовательские задачи, список рекомендуемой литературы</w:t>
      </w:r>
      <w:proofErr w:type="gram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Самостоятельные и контрольные работы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даны в виде разрезных карточек.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Тематические тесты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предназначены для оперативной проверки знаний и подготовки к государственной итоговой аттестации.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 </w:t>
      </w: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пособии для учителей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сформулированы основные требования к учащимся, даны методические рекомендации по проведению уроков, решены наиболее сложные задачи из учебника, даны карточки для устного опроса, примерное планирование материала.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Приложение к учебнику на электронном носителе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содержит анимации, позволяющие лучше понять доказательства теорем; тренажёры, помогающие научиться решать основные типовые задачи; тесты, позволяющие ученикам проверить свои знания; интерактивные модели, позволяющие экспериментально изучить свойства геометрических фигур; справочные материалы, помогающие решать задачи.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Особенности линии:</w:t>
      </w:r>
    </w:p>
    <w:p w:rsidR="008B7ADA" w:rsidRPr="008B7ADA" w:rsidRDefault="008B7ADA" w:rsidP="008B7AD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доступное изложение теоретического материала</w:t>
      </w:r>
    </w:p>
    <w:p w:rsidR="008B7ADA" w:rsidRPr="008B7ADA" w:rsidRDefault="008B7ADA" w:rsidP="008B7AD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обширный задачный материал</w:t>
      </w:r>
    </w:p>
    <w:p w:rsidR="008B7ADA" w:rsidRPr="008B7ADA" w:rsidRDefault="008B7ADA" w:rsidP="008B7ADA">
      <w:pPr>
        <w:numPr>
          <w:ilvl w:val="0"/>
          <w:numId w:val="8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возможность организации индивидуальной работы</w:t>
      </w:r>
    </w:p>
    <w:p w:rsidR="008B7ADA" w:rsidRPr="008B7ADA" w:rsidRDefault="008B7ADA" w:rsidP="008B7ADA">
      <w:pPr>
        <w:shd w:val="clear" w:color="auto" w:fill="FFFFFF"/>
        <w:spacing w:before="161" w:after="161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Линия учебно-методического комплекта по геометрии. 10 – 11 классы </w:t>
      </w:r>
      <w:r w:rsidR="00AB2554" w:rsidRPr="00AB2554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spellStart"/>
      <w:r w:rsidRPr="008B7ADA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>Л.С.Атанасян</w:t>
      </w:r>
      <w:proofErr w:type="spellEnd"/>
      <w:r w:rsidRPr="008B7ADA">
        <w:rPr>
          <w:rFonts w:ascii="Georgia" w:eastAsia="Times New Roman" w:hAnsi="Georgia" w:cs="Times New Roman"/>
          <w:b/>
          <w:bCs/>
          <w:color w:val="333333"/>
          <w:kern w:val="36"/>
          <w:sz w:val="24"/>
          <w:szCs w:val="24"/>
          <w:lang w:eastAsia="ru-RU"/>
        </w:rPr>
        <w:t>, В.Ф.Бутузов, С.Б.Кадомцев и др.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Авторы: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Л.С.Атанасян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В.Ф.Бутузов, С.Б.Кадомцев и др.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Основной идеей УМК является сочетание наглядности и строгой логики.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 состав УМК входят:</w:t>
      </w:r>
    </w:p>
    <w:p w:rsidR="008B7ADA" w:rsidRPr="008B7ADA" w:rsidRDefault="008B7ADA" w:rsidP="008B7AD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Учебник Л.С. 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Атанасян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В.Ф.Бутузов, С.Б. Кадомцев и др. Математика: алгебра и начала математического анализа, геометрия. Геометрия  10-11 классы</w:t>
      </w:r>
    </w:p>
    <w:p w:rsidR="008B7ADA" w:rsidRPr="008B7ADA" w:rsidRDefault="008B7ADA" w:rsidP="008B7AD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дидактические материалы;</w:t>
      </w:r>
    </w:p>
    <w:p w:rsidR="008B7ADA" w:rsidRPr="008B7ADA" w:rsidRDefault="008B7ADA" w:rsidP="008B7AD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пособия «Готовимся к ЕГЭ»;</w:t>
      </w:r>
    </w:p>
    <w:p w:rsidR="008B7ADA" w:rsidRPr="008B7ADA" w:rsidRDefault="008B7ADA" w:rsidP="008B7ADA">
      <w:pPr>
        <w:numPr>
          <w:ilvl w:val="0"/>
          <w:numId w:val="9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поурочные разработки.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Учебник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соответствует Федеральному государственному образовательному стандарту среднего (полного) общего образования. В учебнике реализован принцип преемственности с традициями российского образования в области геометрии. При изложении теоретического материала соблюдается систематичность, последовательность изложения. Учебник позволяет обеспечить вариативность, </w:t>
      </w:r>
      <w:proofErr w:type="spellStart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дифференцированность</w:t>
      </w:r>
      <w:proofErr w:type="spellEnd"/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другие принципы обучения. Его характеризует хорошо подобранная система задач, включающая типовые задачи к каждому параграфу, дополнительные задачи к каждой главе и задачи повышенной трудности. Красочное оформление поможет учащимся лучше усвоить стереометрический материал.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Дидактические материалы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содержат самостоятельные и контрольные работы, работы на повторение и математические диктанты в нескольких вариантах, а также задачи повышенной трудности и примерные задачи к экзамену. Большая вариативность представленных в пособии работ позволяет учителю на любом уровне отобрать необходимые задания.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пособиях </w:t>
      </w: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«Готовимся к ЕГЭ»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 справочной форме приводятся и иллюстрируются на изображениях многогранников и тел вращения основные геометрические сведения. В книги включены задачи, решение которых направленно на неформальное восприятие теоретического материала.</w:t>
      </w:r>
    </w:p>
    <w:p w:rsidR="00AB2554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пособии для учителей </w:t>
      </w: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«Поурочные разработки»</w:t>
      </w: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сформулированы основные требования к учащимся, даны методические рекомендации по проведению уроков и распределению задач, самостоятельные и контрольные работы, карточки для устного опроса, примерное тематическое планирование в трех вариантах в зависимости от количества учебных часов, решены сложные задачи учебника и предложены дополнительные.</w:t>
      </w:r>
    </w:p>
    <w:p w:rsidR="008B7ADA" w:rsidRPr="008B7ADA" w:rsidRDefault="008B7ADA" w:rsidP="008B7ADA">
      <w:pPr>
        <w:shd w:val="clear" w:color="auto" w:fill="FFFFFF"/>
        <w:spacing w:before="100" w:beforeAutospacing="1" w:after="336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AB255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Особенности линии УМК:</w:t>
      </w:r>
    </w:p>
    <w:p w:rsidR="008B7ADA" w:rsidRPr="008B7ADA" w:rsidRDefault="008B7ADA" w:rsidP="008B7AD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возможность использования на базовом и углублённом уровнях;</w:t>
      </w:r>
    </w:p>
    <w:p w:rsidR="008B7ADA" w:rsidRPr="008B7ADA" w:rsidRDefault="008B7ADA" w:rsidP="008B7ADA">
      <w:pPr>
        <w:numPr>
          <w:ilvl w:val="0"/>
          <w:numId w:val="10"/>
        </w:numPr>
        <w:shd w:val="clear" w:color="auto" w:fill="FFFFFF"/>
        <w:spacing w:after="120" w:line="240" w:lineRule="auto"/>
        <w:ind w:left="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8B7ADA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доступность изложения материала, сочетающаяся с достаточной строгостью, краткостью, схематичностью.</w:t>
      </w:r>
    </w:p>
    <w:p w:rsidR="008B7ADA" w:rsidRPr="00AB2554" w:rsidRDefault="00AB2554" w:rsidP="00AB2554">
      <w:pPr>
        <w:pStyle w:val="a7"/>
        <w:jc w:val="center"/>
      </w:pPr>
      <w:r w:rsidRPr="00AB2554">
        <w:rPr>
          <w:rStyle w:val="a4"/>
          <w:rFonts w:ascii="Tahoma" w:hAnsi="Tahoma" w:cs="Tahoma"/>
          <w:b w:val="0"/>
          <w:bCs w:val="0"/>
          <w:color w:val="000000" w:themeColor="text1"/>
          <w:sz w:val="24"/>
          <w:szCs w:val="24"/>
        </w:rPr>
        <w:t>Состав</w:t>
      </w:r>
      <w:r w:rsidR="008B7ADA" w:rsidRPr="00AB2554">
        <w:rPr>
          <w:rStyle w:val="a4"/>
          <w:rFonts w:ascii="Tahoma" w:hAnsi="Tahoma" w:cs="Tahoma"/>
          <w:b w:val="0"/>
          <w:bCs w:val="0"/>
          <w:color w:val="000000" w:themeColor="text1"/>
          <w:sz w:val="24"/>
          <w:szCs w:val="24"/>
        </w:rPr>
        <w:t xml:space="preserve"> УМК «Информатика и ИКТ» 8 - 9 класс</w:t>
      </w:r>
      <w:r w:rsidR="008B7ADA" w:rsidRPr="00AB2554">
        <w:br/>
      </w:r>
      <w:r w:rsidR="008B7ADA" w:rsidRPr="00AB2554">
        <w:rPr>
          <w:rStyle w:val="a4"/>
          <w:rFonts w:ascii="Tahoma" w:hAnsi="Tahoma" w:cs="Tahoma"/>
          <w:b w:val="0"/>
          <w:bCs w:val="0"/>
          <w:color w:val="000000" w:themeColor="text1"/>
          <w:sz w:val="24"/>
          <w:szCs w:val="24"/>
        </w:rPr>
        <w:t>Автор Семакин И. Г. и др.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7625"/>
      </w:tblGrid>
      <w:tr w:rsidR="008B7ADA" w:rsidRPr="00AB2554" w:rsidTr="00AB2554">
        <w:trPr>
          <w:trHeight w:val="1245"/>
          <w:tblCellSpacing w:w="15" w:type="dxa"/>
        </w:trPr>
        <w:tc>
          <w:tcPr>
            <w:tcW w:w="1824" w:type="dxa"/>
            <w:hideMark/>
          </w:tcPr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</w:p>
        </w:tc>
        <w:tc>
          <w:tcPr>
            <w:tcW w:w="7748" w:type="dxa"/>
            <w:hideMark/>
          </w:tcPr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учебник для 8 класса</w:t>
            </w:r>
          </w:p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учебник для 9 класса</w:t>
            </w:r>
          </w:p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Задачник-практикум. ч. 1</w:t>
            </w:r>
          </w:p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Задачник-практикум. ч. 2</w:t>
            </w:r>
          </w:p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Преподавание базового курса информатики в средней школе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методическое пособие</w:t>
            </w:r>
          </w:p>
          <w:p w:rsidR="008B7ADA" w:rsidRPr="00AB2554" w:rsidRDefault="008B7ADA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Основная школа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комплект плакатов и </w:t>
            </w:r>
            <w:r w:rsidRPr="00AB2554">
              <w:rPr>
                <w:rFonts w:ascii="Verdana" w:hAnsi="Verdana"/>
              </w:rPr>
              <w:lastRenderedPageBreak/>
              <w:t>методическое пособие</w:t>
            </w:r>
          </w:p>
        </w:tc>
      </w:tr>
    </w:tbl>
    <w:p w:rsidR="00AB2554" w:rsidRPr="00AB2554" w:rsidRDefault="00AB2554" w:rsidP="00AB2554">
      <w:pPr>
        <w:pStyle w:val="a7"/>
        <w:jc w:val="center"/>
      </w:pPr>
      <w:r w:rsidRPr="00AB2554">
        <w:rPr>
          <w:rStyle w:val="a4"/>
          <w:rFonts w:ascii="Tahoma" w:hAnsi="Tahoma" w:cs="Tahoma"/>
          <w:b w:val="0"/>
          <w:bCs w:val="0"/>
          <w:color w:val="000000" w:themeColor="text1"/>
          <w:sz w:val="24"/>
          <w:szCs w:val="24"/>
        </w:rPr>
        <w:lastRenderedPageBreak/>
        <w:t>Состав УМК «Информатика и ИКТ» для 10-11 классов, базовый уровень</w:t>
      </w:r>
      <w:r w:rsidRPr="00AB2554">
        <w:br/>
      </w:r>
      <w:r w:rsidRPr="00AB2554">
        <w:rPr>
          <w:rStyle w:val="a4"/>
          <w:rFonts w:ascii="Tahoma" w:hAnsi="Tahoma" w:cs="Tahoma"/>
          <w:b w:val="0"/>
          <w:bCs w:val="0"/>
          <w:color w:val="000000" w:themeColor="text1"/>
          <w:sz w:val="24"/>
          <w:szCs w:val="24"/>
        </w:rPr>
        <w:t>Автор Семакин И. Г. и др.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7"/>
        <w:gridCol w:w="7568"/>
      </w:tblGrid>
      <w:tr w:rsidR="00AB2554" w:rsidRPr="00AB2554" w:rsidTr="00AB2554">
        <w:trPr>
          <w:tblCellSpacing w:w="15" w:type="dxa"/>
        </w:trPr>
        <w:tc>
          <w:tcPr>
            <w:tcW w:w="1800" w:type="dxa"/>
            <w:hideMark/>
          </w:tcPr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0.15pt;height:129.1pt"/>
              </w:pict>
            </w:r>
          </w:p>
        </w:tc>
        <w:tc>
          <w:tcPr>
            <w:tcW w:w="0" w:type="auto"/>
            <w:hideMark/>
          </w:tcPr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Базовый уровень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учебник для 10–11 классов</w:t>
            </w:r>
          </w:p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Базовый уровень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практикум для 10–11 классов</w:t>
            </w:r>
          </w:p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Задачник-практикум. ч. 1</w:t>
            </w:r>
          </w:p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Задачник-практикум. ч. 2</w:t>
            </w:r>
          </w:p>
          <w:p w:rsidR="00AB2554" w:rsidRPr="00AB2554" w:rsidRDefault="00AB2554" w:rsidP="00AB2554">
            <w:pPr>
              <w:pStyle w:val="a7"/>
              <w:rPr>
                <w:rFonts w:ascii="Verdana" w:hAnsi="Verdana"/>
              </w:rPr>
            </w:pPr>
            <w:r w:rsidRPr="00AB2554">
              <w:rPr>
                <w:rFonts w:ascii="Verdana" w:hAnsi="Verdana"/>
              </w:rPr>
              <w:t>Информатика и ИКТ. Базовый уровень. 10–11 классы</w:t>
            </w:r>
            <w:proofErr w:type="gramStart"/>
            <w:r w:rsidRPr="00AB2554">
              <w:rPr>
                <w:rFonts w:ascii="Verdana" w:hAnsi="Verdana"/>
              </w:rPr>
              <w:t xml:space="preserve"> :</w:t>
            </w:r>
            <w:proofErr w:type="gramEnd"/>
            <w:r w:rsidRPr="00AB2554">
              <w:rPr>
                <w:rFonts w:ascii="Verdana" w:hAnsi="Verdana"/>
              </w:rPr>
              <w:t xml:space="preserve"> методическое пособие</w:t>
            </w:r>
          </w:p>
        </w:tc>
      </w:tr>
    </w:tbl>
    <w:p w:rsidR="00AE2FF2" w:rsidRPr="00AB2554" w:rsidRDefault="00AE2FF2" w:rsidP="008B7ADA">
      <w:pPr>
        <w:tabs>
          <w:tab w:val="left" w:pos="2906"/>
        </w:tabs>
        <w:rPr>
          <w:sz w:val="24"/>
          <w:szCs w:val="24"/>
        </w:rPr>
      </w:pPr>
    </w:p>
    <w:sectPr w:rsidR="00AE2FF2" w:rsidRPr="00AB2554" w:rsidSect="008B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60816"/>
    <w:multiLevelType w:val="multilevel"/>
    <w:tmpl w:val="A4D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D6B22"/>
    <w:multiLevelType w:val="multilevel"/>
    <w:tmpl w:val="71D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4072BA"/>
    <w:multiLevelType w:val="multilevel"/>
    <w:tmpl w:val="269C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37E89"/>
    <w:multiLevelType w:val="multilevel"/>
    <w:tmpl w:val="F6C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914EB"/>
    <w:multiLevelType w:val="multilevel"/>
    <w:tmpl w:val="7E4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6538D"/>
    <w:multiLevelType w:val="multilevel"/>
    <w:tmpl w:val="0EF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F29C0"/>
    <w:multiLevelType w:val="multilevel"/>
    <w:tmpl w:val="BD4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8552F"/>
    <w:multiLevelType w:val="multilevel"/>
    <w:tmpl w:val="5C7C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E01C14"/>
    <w:multiLevelType w:val="multilevel"/>
    <w:tmpl w:val="A95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6F642F"/>
    <w:multiLevelType w:val="multilevel"/>
    <w:tmpl w:val="546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71D90"/>
    <w:multiLevelType w:val="multilevel"/>
    <w:tmpl w:val="831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B37ED"/>
    <w:multiLevelType w:val="multilevel"/>
    <w:tmpl w:val="5F6A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E2FF2"/>
    <w:rsid w:val="008B1215"/>
    <w:rsid w:val="008B7ADA"/>
    <w:rsid w:val="00AB2554"/>
    <w:rsid w:val="00AE2FF2"/>
    <w:rsid w:val="00D4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15"/>
  </w:style>
  <w:style w:type="paragraph" w:styleId="1">
    <w:name w:val="heading 1"/>
    <w:basedOn w:val="a"/>
    <w:link w:val="10"/>
    <w:uiPriority w:val="9"/>
    <w:qFormat/>
    <w:rsid w:val="00AE2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F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2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7A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8B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AD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5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2018-09-06T18:18:00Z</dcterms:created>
  <dcterms:modified xsi:type="dcterms:W3CDTF">2018-09-06T18:35:00Z</dcterms:modified>
</cp:coreProperties>
</file>