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72" w:rsidRPr="00C65A72" w:rsidRDefault="008A0EED" w:rsidP="008A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5525" cy="1590675"/>
            <wp:effectExtent l="0" t="0" r="9525" b="9525"/>
            <wp:docPr id="1" name="Рисунок 1" descr="C:\Users\школа\Desktop\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ар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A72" w:rsidRPr="00C65A72" w:rsidRDefault="00C65A72" w:rsidP="008A0EE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5A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5A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предмету «Русский язык»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Класс   8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A72">
        <w:rPr>
          <w:rFonts w:ascii="Times New Roman" w:eastAsia="Times New Roman" w:hAnsi="Times New Roman" w:cs="Times New Roman"/>
          <w:sz w:val="32"/>
          <w:szCs w:val="32"/>
          <w:lang w:eastAsia="ru-RU"/>
        </w:rPr>
        <w:t>Бекишиева Г.Б.,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5A72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первой квалификационной  категории</w:t>
      </w: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65A72" w:rsidRPr="00C65A72" w:rsidRDefault="00C65A72" w:rsidP="00C6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65A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2017-2018 учебный год</w:t>
      </w:r>
    </w:p>
    <w:p w:rsidR="00C65A72" w:rsidRDefault="00C65A72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C65A72" w:rsidRDefault="00C65A72" w:rsidP="00C65A7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A0EED" w:rsidRDefault="008A0EED" w:rsidP="00C65A7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A0EED" w:rsidRDefault="008A0EED" w:rsidP="00C65A7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77622C" w:rsidRPr="0077622C" w:rsidRDefault="0077622C" w:rsidP="00C65A7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обучения русскому языку отобрано и структурировано на основе компетентностного подхода. В соответствии с этим в 8 классе формируются и развиваются коммуникативная, языковая, лингвистическая (языковедческая) и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Курс русского языка в 8 классе общеобразовательной школы рассчитан на 102 учебных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Результаты освоения курса. Требования к уровню подготовки обучающихся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объяснять с помощью словаря значение слов с национально-культурным компонентом;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Метапредметные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</w:t>
      </w:r>
      <w:proofErr w:type="spellEnd"/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средств в соответствии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для: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</w:t>
      </w:r>
      <w:proofErr w:type="spellEnd"/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 а также с изобразительным искусством (сочинения по картинам)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 историей (при изучении историзмов, архаизмов и др.)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Контрольный диктант (входящий) с грамматическим заданием по теме «Повторение изученного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(сочинительная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главных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 (времени, места, причины, цели, образа действия, условия, уступительное).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определений в зависимости от характера связи с определяемым словом: согласованное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безличные предложения, выступающие в роли побудительных;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(союзная,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и неоднородные определения в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и неоднородных определений в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(одиночный,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Текст-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 уступки с предлогом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(коммуникативная, эмотивная);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вводности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разграничивать употребление </w:t>
      </w:r>
      <w:proofErr w:type="gram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</w:t>
      </w:r>
      <w:proofErr w:type="gram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междометия в тексте, определять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объяснять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определять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Способы передачи чужой речи: прямая речь, косвенная речь.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Несобственно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первичных и вторичных синтаксических функциях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избежания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Тематическое планирование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по дисциплине «Русский язык» 8 класс</w:t>
      </w:r>
    </w:p>
    <w:tbl>
      <w:tblPr>
        <w:tblW w:w="115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4"/>
        <w:gridCol w:w="3114"/>
        <w:gridCol w:w="1431"/>
        <w:gridCol w:w="1234"/>
        <w:gridCol w:w="1227"/>
        <w:gridCol w:w="1245"/>
        <w:gridCol w:w="2255"/>
      </w:tblGrid>
      <w:tr w:rsidR="0077622C" w:rsidRPr="0077622C" w:rsidTr="0077622C">
        <w:tc>
          <w:tcPr>
            <w:tcW w:w="10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0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12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Максимал</w:t>
            </w: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ь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ная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нагрузка учащегося, ч.</w:t>
            </w:r>
          </w:p>
        </w:tc>
        <w:tc>
          <w:tcPr>
            <w:tcW w:w="54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них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Теорети-ческое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обучение, ч.</w:t>
            </w:r>
          </w:p>
        </w:tc>
        <w:tc>
          <w:tcPr>
            <w:tcW w:w="120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речи,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ч.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Контроль-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ная</w:t>
            </w:r>
            <w:proofErr w:type="spellEnd"/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-тельная</w:t>
            </w:r>
            <w:proofErr w:type="gram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работа, ч.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rPr>
          <w:trHeight w:val="315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изученного в V–VII классах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rPr>
          <w:trHeight w:val="420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и систематизация изученного в VIII классе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20.5</w:t>
            </w:r>
          </w:p>
        </w:tc>
      </w:tr>
    </w:tbl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Стандарт основного общего образования по русскому языку. URL: http://www.mon.gov.ru/work/obr/dok/obs/fkgs/08.doc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Примерные программы основного общего образования. Русский язык для образовательных учреждений с русским языком обучения. URL: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http://www.mon.gov.ru/work/obr/dok/obs/prog/02-1-o.doc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Примерные программы по учебным предметам. Русский язык. 5-9 классы: проект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4. Программы общеобразовательных учреждений. Русский язык. 5-9 классы / Баранов М.Т.,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Шанский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Н.М.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Тростенцова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Ладыженская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Т.А., </w:t>
      </w:r>
      <w:proofErr w:type="spellStart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Дейкина</w:t>
      </w:r>
      <w:proofErr w:type="spellEnd"/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6"/>
        <w:gridCol w:w="3612"/>
        <w:gridCol w:w="2410"/>
        <w:gridCol w:w="1417"/>
        <w:gridCol w:w="3686"/>
        <w:gridCol w:w="1984"/>
        <w:gridCol w:w="1985"/>
        <w:gridCol w:w="479"/>
        <w:gridCol w:w="124"/>
      </w:tblGrid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самостоятельной работы</w:t>
            </w:r>
          </w:p>
        </w:tc>
        <w:tc>
          <w:tcPr>
            <w:tcW w:w="39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A65C8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A65C8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Повторение изученного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9076C2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Повторение.</w:t>
            </w:r>
            <w:r w:rsidR="0077622C"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Пунктуация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н, </w:t>
            </w:r>
            <w:proofErr w:type="spellStart"/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нн</w:t>
            </w:r>
            <w:proofErr w:type="spellEnd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Слитное и раздельное 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Работа по </w:t>
            </w:r>
            <w:proofErr w:type="spellStart"/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каоточкам</w:t>
            </w:r>
            <w:proofErr w:type="spellEnd"/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предложения. Роль второстепенных членов в предложении. Дополнение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00DD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00DD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00DD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09</w:t>
            </w:r>
            <w:r w:rsidR="00E6678F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BC00D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тестирование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BC00D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знаний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62B1B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Pr="0077622C" w:rsidRDefault="00662B1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 по теме «Неполные предложения»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2B1B" w:rsidRPr="0077622C" w:rsidRDefault="00662B1B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Синтаксический разбор предложения с однородными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приложения.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закрепления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со словарями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DA737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Разноуровневые задания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в малых группах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Повторение и систематизация изученного в </w:t>
            </w:r>
            <w:proofErr w:type="spellStart"/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VIIIклассе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по карточкам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Творческая работа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пятиминутка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Написание диктанта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8B0FD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DA737D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2C"/>
    <w:rsid w:val="00093C94"/>
    <w:rsid w:val="00662B1B"/>
    <w:rsid w:val="0077622C"/>
    <w:rsid w:val="008A0EED"/>
    <w:rsid w:val="008B0FDE"/>
    <w:rsid w:val="009076C2"/>
    <w:rsid w:val="00A65C8C"/>
    <w:rsid w:val="00A66566"/>
    <w:rsid w:val="00BC00DD"/>
    <w:rsid w:val="00C308DD"/>
    <w:rsid w:val="00C33EF3"/>
    <w:rsid w:val="00C65A72"/>
    <w:rsid w:val="00DA737D"/>
    <w:rsid w:val="00E6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C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FDC0-603C-4915-801A-5ED75751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9276</Words>
  <Characters>52875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8</cp:revision>
  <cp:lastPrinted>2017-11-14T05:31:00Z</cp:lastPrinted>
  <dcterms:created xsi:type="dcterms:W3CDTF">2017-10-04T19:03:00Z</dcterms:created>
  <dcterms:modified xsi:type="dcterms:W3CDTF">2018-03-26T09:28:00Z</dcterms:modified>
</cp:coreProperties>
</file>