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26" w:rsidRPr="00AC7D26" w:rsidRDefault="009B4E6B" w:rsidP="00AC7D26">
      <w:pPr>
        <w:spacing w:after="12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  <w:u w:val="single"/>
        </w:rPr>
        <w:drawing>
          <wp:inline distT="0" distB="0" distL="0" distR="0">
            <wp:extent cx="9251950" cy="6671115"/>
            <wp:effectExtent l="19050" t="0" r="6350" b="0"/>
            <wp:docPr id="3" name="Рисунок 1" descr="C:\Users\User\Pictures\2017-10-14 43\4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0-14 43\43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C7D26" w:rsidRDefault="00AC7D26" w:rsidP="00AC7D26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AC7D26">
        <w:rPr>
          <w:rFonts w:ascii="Times New Roman" w:hAnsi="Times New Roman"/>
          <w:sz w:val="28"/>
          <w:szCs w:val="28"/>
          <w:u w:val="single"/>
        </w:rPr>
        <w:t>2017-2018</w:t>
      </w:r>
      <w:r w:rsidRPr="00AC7D26">
        <w:rPr>
          <w:rFonts w:ascii="Times New Roman" w:hAnsi="Times New Roman"/>
          <w:sz w:val="28"/>
          <w:szCs w:val="28"/>
        </w:rPr>
        <w:t xml:space="preserve"> учебный год</w:t>
      </w:r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D26" w:rsidRDefault="00AC7D26" w:rsidP="00200C67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D2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818AF" w:rsidRPr="00B25330" w:rsidRDefault="009818AF" w:rsidP="00200C67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общеобразоват. учреждений / сост. Т.А.Бурмистрова.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</w:t>
      </w:r>
      <w:r w:rsidRPr="002925DD">
        <w:rPr>
          <w:rFonts w:ascii="Times New Roman" w:eastAsia="Calibri" w:hAnsi="Times New Roman"/>
          <w:sz w:val="24"/>
          <w:szCs w:val="24"/>
        </w:rPr>
        <w:lastRenderedPageBreak/>
        <w:t xml:space="preserve">мыслить, понимающего идеологию математического моделирования реальных процессов, владеющего математическим языком, как языком, 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Миндюк.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>Алгебра: Дидакт. материалы для 7 кл. / Л. И. Звавич,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>Изучение алгебры в 7—9 классах: пособие для учителей / Ю. Н. Макарычев, Н. Г. Миндюк, С. Б. Сув</w:t>
      </w:r>
      <w:r>
        <w:rPr>
          <w:rFonts w:ascii="Times New Roman" w:hAnsi="Times New Roman"/>
          <w:sz w:val="24"/>
          <w:szCs w:val="24"/>
        </w:rPr>
        <w:t>орова..— 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Дидактические материалы по алгебре для 7 класса / В.И. Жохов, Ю.Н. Макарычев, Н.Г. Миндюк.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>Алгебра: Дидакт. материалы для 7 кл. / Л. И. Звавич,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Программы общеобразовательных учреждений. Алгебра. 7-9 классы. Составитель: Бурмистрова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>Элементы статистики и теории вероятностей авторы Ю.Н. Макарычев, Н.Г. Миндюк; под редакцией С.А. Те</w:t>
      </w:r>
      <w:r>
        <w:rPr>
          <w:rFonts w:ascii="Times New Roman" w:hAnsi="Times New Roman"/>
          <w:iCs/>
          <w:sz w:val="24"/>
          <w:szCs w:val="24"/>
        </w:rPr>
        <w:t>ляковского.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</w:t>
      </w:r>
      <w:r w:rsidRPr="00B25330">
        <w:rPr>
          <w:rFonts w:ascii="Times New Roman" w:hAnsi="Times New Roman"/>
          <w:sz w:val="24"/>
          <w:szCs w:val="24"/>
        </w:rPr>
        <w:lastRenderedPageBreak/>
        <w:t>с указанием личностных, метапредметных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>, что связано с реализацией целей общеинтеллектуального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мышления..</w:t>
      </w:r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 xml:space="preserve">2) формирование у учащихся интеллектуальной честности и объективности, способности к преодолению мыслительных стереотипов, </w:t>
      </w:r>
      <w:r w:rsidRPr="00A626AE">
        <w:rPr>
          <w:rFonts w:ascii="Times New Roman" w:hAnsi="Times New Roman" w:cs="Times New Roman"/>
          <w:b w:val="0"/>
          <w:sz w:val="24"/>
          <w:szCs w:val="24"/>
        </w:rPr>
        <w:lastRenderedPageBreak/>
        <w:t>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метапредметном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006DB">
        <w:rPr>
          <w:rFonts w:ascii="Times New Roman" w:hAnsi="Times New Roman"/>
          <w:b/>
          <w:i/>
          <w:sz w:val="24"/>
          <w:szCs w:val="24"/>
        </w:rPr>
        <w:t>Межпредметные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Алгебраические выражения – встречаются в физике при изучении темы: Градуирование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</w:t>
      </w:r>
      <w:r w:rsidRPr="00EF3124">
        <w:rPr>
          <w:rFonts w:ascii="Times New Roman" w:hAnsi="Times New Roman"/>
          <w:sz w:val="24"/>
          <w:szCs w:val="24"/>
        </w:rPr>
        <w:lastRenderedPageBreak/>
        <w:t>интерпретации, аргументации и доказательства;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сформированность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сформированность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>пространственных представлений, способности к преодолению трудностей;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284"/>
        <w:gridCol w:w="8363"/>
      </w:tblGrid>
      <w:tr w:rsidR="009818AF" w:rsidRPr="00F33FEC" w:rsidTr="00200C67">
        <w:tc>
          <w:tcPr>
            <w:tcW w:w="6345" w:type="dxa"/>
          </w:tcPr>
          <w:p w:rsidR="009818AF" w:rsidRPr="00F33FEC" w:rsidRDefault="009818AF" w:rsidP="00200C67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200C67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200C67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200C67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200C67">
        <w:tc>
          <w:tcPr>
            <w:tcW w:w="6629" w:type="dxa"/>
            <w:gridSpan w:val="2"/>
          </w:tcPr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19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7479"/>
        <w:gridCol w:w="3969"/>
        <w:gridCol w:w="3544"/>
      </w:tblGrid>
      <w:tr w:rsidR="009818AF" w:rsidTr="00200C67">
        <w:tc>
          <w:tcPr>
            <w:tcW w:w="7479" w:type="dxa"/>
          </w:tcPr>
          <w:p w:rsidR="009818AF" w:rsidRPr="000864AC" w:rsidRDefault="009818AF" w:rsidP="00200C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200C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200C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9818AF" w:rsidTr="00200C67">
        <w:tc>
          <w:tcPr>
            <w:tcW w:w="7479" w:type="dxa"/>
          </w:tcPr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Среднее арифметическое, размах и мода, п.9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характеристика, п.10.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Задание функции несколькими формулами, п.17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200C67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функции, п.14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200C67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показателем, п.18</w:t>
            </w:r>
          </w:p>
          <w:p w:rsidR="009818AF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Одночлен и его стандартный вид, п.21</w:t>
            </w:r>
          </w:p>
          <w:p w:rsidR="009818AF" w:rsidRDefault="009818AF" w:rsidP="00200C67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7"/>
        <w:gridCol w:w="3609"/>
        <w:gridCol w:w="10404"/>
      </w:tblGrid>
      <w:tr w:rsidR="009818AF" w:rsidRPr="00A556F9" w:rsidTr="00200C67">
        <w:trPr>
          <w:trHeight w:val="414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200C67">
        <w:trPr>
          <w:trHeight w:val="450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200C67">
        <w:trPr>
          <w:trHeight w:val="463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входной контроль (сентябрь)</w:t>
            </w:r>
          </w:p>
        </w:tc>
      </w:tr>
      <w:tr w:rsidR="009818AF" w:rsidRPr="00A556F9" w:rsidTr="00200C67">
        <w:trPr>
          <w:trHeight w:val="463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промежуточный контроль (конец полугодия)</w:t>
            </w:r>
          </w:p>
        </w:tc>
      </w:tr>
      <w:tr w:rsidR="009818AF" w:rsidRPr="00A556F9" w:rsidTr="00200C67">
        <w:trPr>
          <w:trHeight w:val="463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итоговый контроль (май)</w:t>
            </w:r>
          </w:p>
        </w:tc>
      </w:tr>
      <w:tr w:rsidR="009818AF" w:rsidRPr="00A556F9" w:rsidTr="00200C67">
        <w:trPr>
          <w:trHeight w:val="450"/>
        </w:trPr>
        <w:tc>
          <w:tcPr>
            <w:tcW w:w="927" w:type="dxa"/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lastRenderedPageBreak/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вий, релевантных содержанию учебных предметов, в том числе метапредметных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>личаться от него как в сторону превышения, так и в сторону недостижения.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>мых результатов, уровню овладения учебными действиями и 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Недостижение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lastRenderedPageBreak/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>в системе внутришколь</w:t>
      </w:r>
      <w:r w:rsidRPr="008E46D3">
        <w:rPr>
          <w:rFonts w:ascii="Times New Roman" w:hAnsi="Times New Roman"/>
          <w:sz w:val="24"/>
          <w:szCs w:val="24"/>
        </w:rPr>
        <w:softHyphen/>
        <w:t xml:space="preserve">ного мониторинга образовательных достижений целесообразно фиксировать и анализировать данные о сформированности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Решение о достижении или недостижении планируемых результатов или об освоении или неосвоении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lastRenderedPageBreak/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логических рассуждениях и обоснованиях нет пробелов и ошибок;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грамотная речь;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способность открыто выражать и аргументировано отстаивать свою точку зрения;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9818AF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r w:rsidRPr="004F2702">
        <w:rPr>
          <w:rStyle w:val="dash041e005f0431005f044b005f0447005f043d005f044b005f04391005f005fchar1char1"/>
          <w:b/>
          <w:bCs/>
        </w:rPr>
        <w:lastRenderedPageBreak/>
        <w:t>метапредметным</w:t>
      </w:r>
      <w:r w:rsidRPr="004F2702">
        <w:rPr>
          <w:rStyle w:val="dash041e005f0431005f044b005f0447005f043d005f044b005f04391005f005fchar1char1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r w:rsidRPr="004F2702">
        <w:rPr>
          <w:rStyle w:val="dash041e005f0431005f044b005f0447005f043d005f044b005f04391005f005fchar1char1"/>
          <w:b/>
          <w:bCs/>
        </w:rPr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r w:rsidRPr="004F2702">
        <w:rPr>
          <w:rStyle w:val="dash041e005f0431005f044b005f0447005f043d005f044b005f0439005f005fchar1char1"/>
          <w:b/>
          <w:bCs/>
        </w:rPr>
        <w:lastRenderedPageBreak/>
        <w:t>Метапредметные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lastRenderedPageBreak/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t>*  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lastRenderedPageBreak/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неравенств графический метод;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992"/>
        <w:gridCol w:w="1701"/>
        <w:gridCol w:w="9356"/>
      </w:tblGrid>
      <w:tr w:rsidR="009818AF" w:rsidRPr="00395C5F" w:rsidTr="00200C6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200C67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200C6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200C67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Выражения. Тождества.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нение с одной переменной. 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200C67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тическим, модой, медианой, размахом. Учащиеся 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казателем. В курсе 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свойств  степени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ле. Свойства степени с натуральным 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ходят   применение   при   умножении   одночленов   и  возведении одночленов в степень. При нахождении значений выражений, содержащих степени,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особое внимание следует обратить на порядок действий.</w:t>
            </w:r>
          </w:p>
          <w:p w:rsidR="009818AF" w:rsidRPr="00B53740" w:rsidRDefault="009818AF" w:rsidP="00200C67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200C6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Формулы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200C67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200C67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уравнения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200C67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200C67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200C6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200C67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Макарычев, Ю. Н. Алгебра: учебник для 7 класса общеобразовательных учреждений / Ю. Н. Макарычев, К. И. Нешков, Н. Г. Миндюк, С. Б. Суворова; под ред. С. А. Теляковского. - М.: Просвещение, 2013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58"/>
        <w:gridCol w:w="990"/>
        <w:gridCol w:w="1314"/>
        <w:gridCol w:w="3644"/>
        <w:gridCol w:w="883"/>
        <w:gridCol w:w="12"/>
        <w:gridCol w:w="49"/>
        <w:gridCol w:w="12"/>
        <w:gridCol w:w="12"/>
        <w:gridCol w:w="12"/>
        <w:gridCol w:w="12"/>
        <w:gridCol w:w="12"/>
        <w:gridCol w:w="12"/>
        <w:gridCol w:w="17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7D6A6B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7D6A6B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200C67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7D6A6B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D6A6B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D6A6B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D6A6B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C67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C67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C67" w:rsidRPr="00F03F40" w:rsidRDefault="00200C67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C67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C67" w:rsidRPr="00B25330" w:rsidRDefault="00200C67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C67" w:rsidRPr="00F03F40" w:rsidRDefault="00200C67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C67" w:rsidRPr="00F03F40" w:rsidRDefault="007D6A6B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C67" w:rsidRPr="00F03F40" w:rsidRDefault="00200C67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27.09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200C67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200C67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 xml:space="preserve">строения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lastRenderedPageBreak/>
              <w:t>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ния на 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схематически положение на 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200C67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рубрики «Для тех,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 xml:space="preserve">женные значения корней, используя при </w:t>
            </w:r>
            <w:r w:rsidRPr="00756651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необходимости калькулятор; проводить оценку квадратных корней.</w:t>
            </w:r>
          </w:p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lastRenderedPageBreak/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200C67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200C67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200C67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27.12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преобразований.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200C67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D70B6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200C67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200C67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200C67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200C67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200C67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ного уравнения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ляется 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20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200C6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алгебраического и геометрического языков.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200C67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07.05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200C67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200C67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200C67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AF59DE" w:rsidP="00200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F59DE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F307EA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23.05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200C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F307EA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200C67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F307EA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28.05</w:t>
            </w:r>
            <w:bookmarkStart w:id="0" w:name="_GoBack"/>
            <w:bookmarkEnd w:id="0"/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200C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200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200C6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кл.: К учебнику «Алгебра. Учебник для 7 кл. Под ред. С.А.Теляковского».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45617">
        <w:rPr>
          <w:rFonts w:ascii="Times New Roman" w:hAnsi="Times New Roman"/>
          <w:i/>
          <w:sz w:val="24"/>
          <w:szCs w:val="24"/>
        </w:rPr>
        <w:t>Альхова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r w:rsidRPr="00B7582C">
        <w:rPr>
          <w:rFonts w:ascii="Times New Roman" w:hAnsi="Times New Roman"/>
          <w:i/>
          <w:sz w:val="24"/>
          <w:szCs w:val="24"/>
        </w:rPr>
        <w:t>Левитас</w:t>
      </w:r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Асмолов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Системно-деятельностный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>Буланова Л.М., Дудницин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Бурмистрова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оты в 7 классе. М.: Илекса,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Кронгауз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AF0A37">
        <w:rPr>
          <w:rFonts w:ascii="Times New Roman" w:hAnsi="Times New Roman"/>
          <w:i/>
          <w:sz w:val="24"/>
          <w:szCs w:val="24"/>
        </w:rPr>
        <w:t>Дюмина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 .Н.Макарычева.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595E4A">
        <w:rPr>
          <w:rFonts w:ascii="Times New Roman" w:hAnsi="Times New Roman"/>
          <w:i/>
          <w:sz w:val="24"/>
          <w:szCs w:val="24"/>
        </w:rPr>
        <w:t>Звавич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кл.: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Концепция Федеральных государственных образовательных стандартов общего образования / Под ред. А.М. Кондакова,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6BC2">
        <w:rPr>
          <w:rFonts w:ascii="Times New Roman" w:hAnsi="Times New Roman"/>
          <w:i/>
          <w:sz w:val="24"/>
          <w:szCs w:val="24"/>
        </w:rPr>
        <w:t>Левитас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«Илекса»,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Нешков, Н. Г. Миндюк, С. Б. Суворова; под ред. С. А. Теляк</w:t>
      </w:r>
      <w:r>
        <w:rPr>
          <w:rFonts w:ascii="Times New Roman" w:hAnsi="Times New Roman"/>
          <w:b w:val="0"/>
          <w:sz w:val="24"/>
          <w:szCs w:val="24"/>
        </w:rPr>
        <w:t>овского.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Миндюк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Мартышова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Илекса,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Миндюк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Шлыкова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 А.Н.</w:t>
      </w:r>
      <w:r w:rsidRPr="00AF0A37">
        <w:rPr>
          <w:rFonts w:ascii="Times New Roman" w:hAnsi="Times New Roman"/>
          <w:b w:val="0"/>
          <w:sz w:val="24"/>
          <w:szCs w:val="24"/>
        </w:rPr>
        <w:t>, Лупенко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ред. А.Г. Асмолова.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Фундаментальное ядро содержания общего образования / Под ред. В.В. Козлова, А.М. Кондакова.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Асмолов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2.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Асмолов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Российская школа и новые информационные технологии: взгляд в следующее десятилетие. М.: НексПринт,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7582C">
        <w:rPr>
          <w:rFonts w:ascii="Times New Roman" w:hAnsi="Times New Roman"/>
          <w:i/>
          <w:sz w:val="24"/>
          <w:szCs w:val="24"/>
        </w:rPr>
        <w:t>Вейцман</w:t>
      </w:r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r w:rsidRPr="00B7582C">
        <w:rPr>
          <w:rFonts w:ascii="Times New Roman" w:hAnsi="Times New Roman"/>
          <w:i/>
          <w:sz w:val="24"/>
          <w:szCs w:val="24"/>
        </w:rPr>
        <w:t>Вейцман</w:t>
      </w:r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СПб.: 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Жильцова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Муштавинская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B7582C">
        <w:rPr>
          <w:rFonts w:ascii="Times New Roman" w:hAnsi="Times New Roman"/>
          <w:i/>
          <w:sz w:val="24"/>
          <w:szCs w:val="24"/>
        </w:rPr>
        <w:t>Звавич</w:t>
      </w:r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r w:rsidRPr="00B7582C">
        <w:rPr>
          <w:rFonts w:ascii="Times New Roman" w:hAnsi="Times New Roman"/>
          <w:i/>
          <w:sz w:val="24"/>
          <w:szCs w:val="24"/>
        </w:rPr>
        <w:t>Миндюк</w:t>
      </w:r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>. Сборник задач по алгебре. Для 6-8 кл.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>Алгебра: сб. заданий для подготовки к итоговой аттестации в 9 кл. / Л.В. Кузнецова, С.В. Суворова, Е.А. Бунимович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r w:rsidRPr="00B7582C">
        <w:rPr>
          <w:rFonts w:ascii="Times New Roman" w:hAnsi="Times New Roman"/>
          <w:i/>
          <w:sz w:val="24"/>
          <w:szCs w:val="24"/>
        </w:rPr>
        <w:t>Суходский</w:t>
      </w:r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B7582C">
        <w:rPr>
          <w:rFonts w:ascii="Times New Roman" w:hAnsi="Times New Roman"/>
          <w:sz w:val="24"/>
          <w:szCs w:val="24"/>
        </w:rPr>
        <w:t>Соломоник</w:t>
      </w:r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200C67" w:rsidRDefault="00200C67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C67" w:rsidRDefault="00200C67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C67" w:rsidRDefault="00200C67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lastRenderedPageBreak/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 Решение систем методом Крамера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Pr="008C2636" w:rsidRDefault="009818AF" w:rsidP="009818AF">
      <w:pPr>
        <w:jc w:val="center"/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</w:rPr>
        <w:t>1)).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, при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200C67">
        <w:trPr>
          <w:trHeight w:val="517"/>
        </w:trPr>
        <w:tc>
          <w:tcPr>
            <w:tcW w:w="4785" w:type="dxa"/>
          </w:tcPr>
          <w:p w:rsidR="009818AF" w:rsidRPr="001E6281" w:rsidRDefault="009818AF" w:rsidP="00200C6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200C6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200C6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200C67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200C67">
        <w:tc>
          <w:tcPr>
            <w:tcW w:w="4785" w:type="dxa"/>
          </w:tcPr>
          <w:p w:rsidR="009818AF" w:rsidRPr="001E6281" w:rsidRDefault="009818AF" w:rsidP="00200C67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200C67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200C67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200C67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r w:rsidRPr="001E6281">
        <w:rPr>
          <w:rFonts w:ascii="Times New Roman" w:hAnsi="Times New Roman"/>
          <w:sz w:val="24"/>
          <w:szCs w:val="24"/>
        </w:rPr>
        <w:t xml:space="preserve"> 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сх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са - с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- 9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-5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9818AF" w:rsidRPr="00953CA6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200C67">
          <w:headerReference w:type="default" r:id="rId26"/>
          <w:footerReference w:type="default" r:id="rId27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1. Решите систему уравнений</w:t>
      </w:r>
    </w:p>
    <w:p w:rsidR="009818AF" w:rsidRPr="001E6281" w:rsidRDefault="007D6A6B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 w:firstRow="1" w:lastRow="1" w:firstColumn="1" w:lastColumn="1" w:noHBand="0" w:noVBand="0"/>
      </w:tblPr>
      <w:tblGrid>
        <w:gridCol w:w="4928"/>
        <w:gridCol w:w="3497"/>
      </w:tblGrid>
      <w:tr w:rsidR="009818AF" w:rsidRPr="001E6281" w:rsidTr="00200C67">
        <w:tc>
          <w:tcPr>
            <w:tcW w:w="4928" w:type="dxa"/>
          </w:tcPr>
          <w:p w:rsidR="009818AF" w:rsidRPr="001E6281" w:rsidRDefault="009818AF" w:rsidP="00200C67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7D6A6B" w:rsidP="00200C67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200C67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200C67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кх + b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7D6A6B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7D6A6B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• 2. Велосипедист ехал 2 ч по лесной дороге и 1 ч по шоссе, всего он проехал 40 км. Скорость его на шоссе была на 4 км/ч 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3. Решите систему уравнений </w:t>
      </w:r>
    </w:p>
    <w:p w:rsidR="009818AF" w:rsidRPr="001E6281" w:rsidRDefault="007D6A6B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7D6A6B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200C67">
      <w:pPr>
        <w:spacing w:after="0" w:line="240" w:lineRule="auto"/>
        <w:rPr>
          <w:rFonts w:ascii="Times New Roman" w:hAnsi="Times New Roman"/>
          <w:sz w:val="24"/>
          <w:szCs w:val="24"/>
        </w:rPr>
        <w:sectPr w:rsidR="009818AF" w:rsidSect="00200C67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200C67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A6B" w:rsidRDefault="007D6A6B" w:rsidP="009818AF">
      <w:pPr>
        <w:spacing w:after="0" w:line="240" w:lineRule="auto"/>
      </w:pPr>
      <w:r>
        <w:separator/>
      </w:r>
    </w:p>
  </w:endnote>
  <w:endnote w:type="continuationSeparator" w:id="0">
    <w:p w:rsidR="007D6A6B" w:rsidRDefault="007D6A6B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A6B" w:rsidRDefault="007D6A6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A6B" w:rsidRDefault="007D6A6B" w:rsidP="009818AF">
      <w:pPr>
        <w:spacing w:after="0" w:line="240" w:lineRule="auto"/>
      </w:pPr>
      <w:r>
        <w:separator/>
      </w:r>
    </w:p>
  </w:footnote>
  <w:footnote w:type="continuationSeparator" w:id="0">
    <w:p w:rsidR="007D6A6B" w:rsidRDefault="007D6A6B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A6B" w:rsidRPr="00671D92" w:rsidRDefault="007D6A6B">
    <w:pPr>
      <w:pStyle w:val="af4"/>
      <w:rPr>
        <w:rFonts w:ascii="Times New Roman" w:hAnsi="Times New Roman"/>
        <w:i/>
      </w:rPr>
    </w:pPr>
  </w:p>
  <w:p w:rsidR="007D6A6B" w:rsidRDefault="007D6A6B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8AF"/>
    <w:rsid w:val="000378EA"/>
    <w:rsid w:val="00200C67"/>
    <w:rsid w:val="002856AF"/>
    <w:rsid w:val="004209D4"/>
    <w:rsid w:val="004D4468"/>
    <w:rsid w:val="005A3366"/>
    <w:rsid w:val="005D70B6"/>
    <w:rsid w:val="006D502A"/>
    <w:rsid w:val="006F7D39"/>
    <w:rsid w:val="0072145C"/>
    <w:rsid w:val="007D6A6B"/>
    <w:rsid w:val="008B1215"/>
    <w:rsid w:val="009818AF"/>
    <w:rsid w:val="009B4E6B"/>
    <w:rsid w:val="00AC7D26"/>
    <w:rsid w:val="00AF59DE"/>
    <w:rsid w:val="00C71A99"/>
    <w:rsid w:val="00CC6B4D"/>
    <w:rsid w:val="00D0553E"/>
    <w:rsid w:val="00DA5C85"/>
    <w:rsid w:val="00E70E09"/>
    <w:rsid w:val="00F3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2FDD517-5ACC-4B2E-BB64-40A232C9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47</Pages>
  <Words>12595</Words>
  <Characters>71794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12</cp:revision>
  <cp:lastPrinted>2017-09-16T12:54:00Z</cp:lastPrinted>
  <dcterms:created xsi:type="dcterms:W3CDTF">2017-06-07T05:49:00Z</dcterms:created>
  <dcterms:modified xsi:type="dcterms:W3CDTF">2017-10-18T09:15:00Z</dcterms:modified>
</cp:coreProperties>
</file>